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2" w:rsidRDefault="00F533E2"/>
    <w:p w:rsidR="0008376A" w:rsidRDefault="0008376A" w:rsidP="000837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</w:t>
      </w:r>
      <w:r w:rsidR="00985F8A">
        <w:rPr>
          <w:b/>
          <w:bCs/>
          <w:sz w:val="24"/>
          <w:szCs w:val="24"/>
        </w:rPr>
        <w:t>ject</w:t>
      </w:r>
      <w:r>
        <w:rPr>
          <w:b/>
          <w:bCs/>
          <w:sz w:val="24"/>
          <w:szCs w:val="24"/>
        </w:rPr>
        <w:t>-Level Early Warning Interest Group</w:t>
      </w:r>
      <w:r w:rsidRPr="00FA0F72">
        <w:rPr>
          <w:b/>
          <w:bCs/>
          <w:sz w:val="24"/>
          <w:szCs w:val="24"/>
        </w:rPr>
        <w:t xml:space="preserve"> </w:t>
      </w:r>
    </w:p>
    <w:p w:rsidR="0008376A" w:rsidRPr="006060F5" w:rsidRDefault="0008376A" w:rsidP="0008376A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214374">
        <w:rPr>
          <w:b/>
          <w:bCs/>
          <w:sz w:val="24"/>
          <w:szCs w:val="24"/>
        </w:rPr>
        <w:t>Notes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5F8A">
        <w:rPr>
          <w:b/>
          <w:sz w:val="24"/>
          <w:szCs w:val="24"/>
        </w:rPr>
        <w:t>11</w:t>
      </w:r>
      <w:r w:rsidRPr="00787A7C">
        <w:rPr>
          <w:b/>
          <w:sz w:val="24"/>
          <w:szCs w:val="24"/>
        </w:rPr>
        <w:t xml:space="preserve"> </w:t>
      </w:r>
      <w:r w:rsidR="00E26CBD">
        <w:rPr>
          <w:b/>
          <w:sz w:val="24"/>
          <w:szCs w:val="24"/>
        </w:rPr>
        <w:t>June</w:t>
      </w:r>
      <w:r w:rsidRPr="00787A7C">
        <w:rPr>
          <w:b/>
          <w:sz w:val="24"/>
          <w:szCs w:val="24"/>
        </w:rPr>
        <w:t xml:space="preserve"> 201</w:t>
      </w:r>
      <w:r w:rsidR="00E26CBD">
        <w:rPr>
          <w:b/>
          <w:sz w:val="24"/>
          <w:szCs w:val="24"/>
        </w:rPr>
        <w:t>5</w:t>
      </w:r>
    </w:p>
    <w:p w:rsidR="0008376A" w:rsidRDefault="0008376A" w:rsidP="0008376A">
      <w:pPr>
        <w:spacing w:after="0" w:line="240" w:lineRule="auto"/>
        <w:rPr>
          <w:sz w:val="24"/>
          <w:szCs w:val="24"/>
        </w:rPr>
      </w:pPr>
    </w:p>
    <w:p w:rsidR="0008376A" w:rsidRDefault="0008376A" w:rsidP="0008376A">
      <w:pPr>
        <w:spacing w:after="0" w:line="240" w:lineRule="auto"/>
        <w:rPr>
          <w:sz w:val="24"/>
          <w:szCs w:val="24"/>
        </w:rPr>
      </w:pPr>
    </w:p>
    <w:p w:rsidR="0008376A" w:rsidRPr="00FA0F72" w:rsidRDefault="0008376A" w:rsidP="0008376A">
      <w:pPr>
        <w:spacing w:after="0" w:line="240" w:lineRule="auto"/>
        <w:rPr>
          <w:sz w:val="24"/>
          <w:szCs w:val="24"/>
        </w:rPr>
      </w:pPr>
    </w:p>
    <w:p w:rsidR="0008376A" w:rsidRDefault="0008376A" w:rsidP="0008376A">
      <w:pPr>
        <w:pStyle w:val="ListParagraph"/>
        <w:numPr>
          <w:ilvl w:val="0"/>
          <w:numId w:val="1"/>
        </w:numPr>
      </w:pPr>
      <w:r>
        <w:t>Welcome and introductions (~</w:t>
      </w:r>
      <w:r w:rsidR="00E26CBD">
        <w:t xml:space="preserve"> 10</w:t>
      </w:r>
      <w:r>
        <w:t xml:space="preserve"> </w:t>
      </w:r>
      <w:proofErr w:type="spellStart"/>
      <w:r>
        <w:t>mins</w:t>
      </w:r>
      <w:proofErr w:type="spellEnd"/>
      <w:r>
        <w:t>)</w:t>
      </w:r>
    </w:p>
    <w:p w:rsidR="00ED7477" w:rsidRDefault="00ED7477" w:rsidP="00ED7477">
      <w:pPr>
        <w:ind w:firstLine="720"/>
      </w:pPr>
      <w:r>
        <w:t>Meeting p</w:t>
      </w:r>
      <w:r w:rsidR="00CB58EE">
        <w:t xml:space="preserve">articipants: </w:t>
      </w:r>
    </w:p>
    <w:p w:rsidR="00ED7477" w:rsidRDefault="00ED7477" w:rsidP="00ED7477">
      <w:pPr>
        <w:pStyle w:val="ListParagraph"/>
        <w:numPr>
          <w:ilvl w:val="1"/>
          <w:numId w:val="1"/>
        </w:numPr>
      </w:pPr>
      <w:r>
        <w:t xml:space="preserve">Patrick Coonan, Knowledge Management Specialist, FSN Network </w:t>
      </w:r>
    </w:p>
    <w:p w:rsidR="00ED7477" w:rsidRDefault="00ED7477" w:rsidP="00ED7477">
      <w:pPr>
        <w:pStyle w:val="ListParagraph"/>
        <w:numPr>
          <w:ilvl w:val="1"/>
          <w:numId w:val="1"/>
        </w:numPr>
      </w:pPr>
      <w:r>
        <w:t>Laura Glaeser, Food Security Advisor, FANTA</w:t>
      </w:r>
    </w:p>
    <w:p w:rsidR="00ED7477" w:rsidRDefault="00ED7477" w:rsidP="009E6057">
      <w:pPr>
        <w:pStyle w:val="ListParagraph"/>
        <w:numPr>
          <w:ilvl w:val="1"/>
          <w:numId w:val="1"/>
        </w:numPr>
      </w:pPr>
      <w:r>
        <w:t xml:space="preserve">Willbroad Kawemama, Sustainable Development Initiative/Tanzania </w:t>
      </w:r>
    </w:p>
    <w:p w:rsidR="00ED7477" w:rsidRDefault="00ED7477" w:rsidP="009E6057">
      <w:pPr>
        <w:pStyle w:val="ListParagraph"/>
        <w:numPr>
          <w:ilvl w:val="1"/>
          <w:numId w:val="1"/>
        </w:numPr>
      </w:pPr>
      <w:r>
        <w:t>Arianne Neigh, Global Environmental Management Support Contractor (GEMS/USAID, Cadmus Group)</w:t>
      </w:r>
    </w:p>
    <w:p w:rsidR="00ED7477" w:rsidRDefault="00ED7477" w:rsidP="009E6057">
      <w:pPr>
        <w:pStyle w:val="ListParagraph"/>
        <w:numPr>
          <w:ilvl w:val="1"/>
          <w:numId w:val="1"/>
        </w:numPr>
      </w:pPr>
      <w:r>
        <w:t xml:space="preserve">Donard Nyirenda, Save the Children International, Somalia </w:t>
      </w:r>
      <w:proofErr w:type="spellStart"/>
      <w:r>
        <w:t>Programme</w:t>
      </w:r>
      <w:proofErr w:type="spellEnd"/>
      <w:r>
        <w:t xml:space="preserve"> </w:t>
      </w:r>
    </w:p>
    <w:p w:rsidR="00ED7477" w:rsidRDefault="00CB58EE" w:rsidP="009E6057">
      <w:pPr>
        <w:pStyle w:val="ListParagraph"/>
        <w:numPr>
          <w:ilvl w:val="1"/>
          <w:numId w:val="1"/>
        </w:numPr>
      </w:pPr>
      <w:r>
        <w:t>Gianmaria Pinto (presenter), Norwegian Refugee Council, consortium manager for the Building Resilient Communities in Somalia (</w:t>
      </w:r>
      <w:proofErr w:type="spellStart"/>
      <w:r>
        <w:t>BRCiS</w:t>
      </w:r>
      <w:proofErr w:type="spellEnd"/>
      <w:r w:rsidR="00ED7477">
        <w:t>) program</w:t>
      </w:r>
    </w:p>
    <w:p w:rsidR="0008376A" w:rsidRDefault="00ED7477" w:rsidP="008B5FBC">
      <w:pPr>
        <w:pStyle w:val="ListParagraph"/>
        <w:numPr>
          <w:ilvl w:val="1"/>
          <w:numId w:val="1"/>
        </w:numPr>
      </w:pPr>
      <w:r>
        <w:t xml:space="preserve">Meredith </w:t>
      </w:r>
      <w:proofErr w:type="spellStart"/>
      <w:r>
        <w:t>Saggers</w:t>
      </w:r>
      <w:proofErr w:type="spellEnd"/>
      <w:r w:rsidR="009E6057">
        <w:t>, Land O’Lakes</w:t>
      </w:r>
      <w:r>
        <w:t xml:space="preserve"> </w:t>
      </w:r>
    </w:p>
    <w:p w:rsidR="0008376A" w:rsidRDefault="0008376A" w:rsidP="0008376A">
      <w:pPr>
        <w:pStyle w:val="ListParagraph"/>
      </w:pPr>
    </w:p>
    <w:p w:rsidR="0008376A" w:rsidRPr="00ED7477" w:rsidRDefault="0008376A" w:rsidP="0008376A">
      <w:pPr>
        <w:pStyle w:val="ListParagraph"/>
        <w:numPr>
          <w:ilvl w:val="0"/>
          <w:numId w:val="1"/>
        </w:numPr>
        <w:rPr>
          <w:i/>
        </w:rPr>
      </w:pPr>
      <w:r>
        <w:t xml:space="preserve">Presentation: </w:t>
      </w:r>
      <w:r w:rsidR="00E26CBD">
        <w:rPr>
          <w:i/>
        </w:rPr>
        <w:t xml:space="preserve">Building Resilient Communities in Somalia: Early Warning, Early Action </w:t>
      </w:r>
      <w:r w:rsidR="00E26CBD">
        <w:t>– Gianmaria Pinto</w:t>
      </w:r>
      <w:r w:rsidRPr="00E26CBD">
        <w:t xml:space="preserve">, </w:t>
      </w:r>
      <w:r w:rsidR="00E26CBD" w:rsidRPr="00E26CBD">
        <w:t>N</w:t>
      </w:r>
      <w:r w:rsidR="00E26CBD">
        <w:t xml:space="preserve">orwegian </w:t>
      </w:r>
      <w:r w:rsidR="00E26CBD" w:rsidRPr="00E26CBD">
        <w:t>R</w:t>
      </w:r>
      <w:r w:rsidR="00E26CBD">
        <w:t xml:space="preserve">efugee </w:t>
      </w:r>
      <w:r w:rsidR="00E26CBD" w:rsidRPr="00E26CBD">
        <w:t>C</w:t>
      </w:r>
      <w:r w:rsidR="00E26CBD">
        <w:t>ouncil</w:t>
      </w:r>
      <w:r w:rsidR="00985F8A">
        <w:t xml:space="preserve"> (~</w:t>
      </w:r>
      <w:r w:rsidR="00E26CBD">
        <w:t xml:space="preserve"> 30</w:t>
      </w:r>
      <w:r>
        <w:t xml:space="preserve"> </w:t>
      </w:r>
      <w:proofErr w:type="spellStart"/>
      <w:r>
        <w:t>mins</w:t>
      </w:r>
      <w:proofErr w:type="spellEnd"/>
      <w:r>
        <w:t>)</w:t>
      </w:r>
    </w:p>
    <w:p w:rsidR="00ED7477" w:rsidRPr="00E26CBD" w:rsidRDefault="00ED7477" w:rsidP="00ED7477">
      <w:pPr>
        <w:pStyle w:val="ListParagraph"/>
        <w:numPr>
          <w:ilvl w:val="1"/>
          <w:numId w:val="1"/>
        </w:numPr>
        <w:rPr>
          <w:i/>
        </w:rPr>
      </w:pPr>
      <w:r>
        <w:t xml:space="preserve">The full recording of the Interest Group meeting is available </w:t>
      </w:r>
      <w:hyperlink r:id="rId7" w:history="1">
        <w:r w:rsidRPr="00ED7477">
          <w:rPr>
            <w:rStyle w:val="Hyperlink"/>
          </w:rPr>
          <w:t>here</w:t>
        </w:r>
      </w:hyperlink>
      <w:r>
        <w:t xml:space="preserve">. The presentation is available for </w:t>
      </w:r>
      <w:r w:rsidRPr="00ED7477">
        <w:t xml:space="preserve">download </w:t>
      </w:r>
      <w:hyperlink r:id="rId8" w:tgtFrame="_blank" w:history="1">
        <w:r w:rsidRPr="00ED7477">
          <w:rPr>
            <w:rStyle w:val="Hyperlink"/>
            <w:rFonts w:cs="Helvetica"/>
            <w:color w:val="237E98"/>
            <w:shd w:val="clear" w:color="auto" w:fill="FCFCF4"/>
          </w:rPr>
          <w:t>here</w:t>
        </w:r>
      </w:hyperlink>
      <w:r>
        <w:t>.</w:t>
      </w:r>
    </w:p>
    <w:p w:rsidR="00E26CBD" w:rsidRPr="00E26CBD" w:rsidRDefault="00E26CBD" w:rsidP="00E26CBD">
      <w:pPr>
        <w:pStyle w:val="ListParagraph"/>
        <w:rPr>
          <w:i/>
        </w:rPr>
      </w:pPr>
    </w:p>
    <w:p w:rsidR="00E26CBD" w:rsidRPr="00DC18DE" w:rsidRDefault="00E26CBD" w:rsidP="0008376A">
      <w:pPr>
        <w:pStyle w:val="ListParagraph"/>
        <w:numPr>
          <w:ilvl w:val="0"/>
          <w:numId w:val="1"/>
        </w:numPr>
        <w:rPr>
          <w:i/>
        </w:rPr>
      </w:pPr>
      <w:r>
        <w:t>Q&amp;A (~ 30 minutes)</w:t>
      </w:r>
      <w:r w:rsidR="00DC18DE">
        <w:t xml:space="preserve"> </w:t>
      </w:r>
    </w:p>
    <w:p w:rsidR="00DC18DE" w:rsidRPr="00DC18DE" w:rsidRDefault="00DC18DE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How long did it take to complete the community surveys (which contributed to the foundation for the early warning component of the project)? </w:t>
      </w:r>
    </w:p>
    <w:p w:rsidR="00DC18DE" w:rsidRPr="00DC18DE" w:rsidRDefault="00DC18DE" w:rsidP="00DC18DE">
      <w:pPr>
        <w:pStyle w:val="ListParagraph"/>
        <w:numPr>
          <w:ilvl w:val="2"/>
          <w:numId w:val="1"/>
        </w:numPr>
        <w:rPr>
          <w:i/>
        </w:rPr>
      </w:pPr>
      <w:r>
        <w:t>Starting at 39:20 in the full meeting recording</w:t>
      </w:r>
    </w:p>
    <w:p w:rsidR="00DC18DE" w:rsidRPr="00DC18DE" w:rsidRDefault="00DC18DE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How did the program reduce the time required for the response process from 21 days to 7 days? How does the </w:t>
      </w:r>
      <w:r w:rsidR="008B5FBC">
        <w:t xml:space="preserve">response </w:t>
      </w:r>
      <w:r>
        <w:t xml:space="preserve">activation process work? </w:t>
      </w:r>
    </w:p>
    <w:p w:rsidR="00DC18DE" w:rsidRPr="00DC18DE" w:rsidRDefault="00DC18DE" w:rsidP="00DC18DE">
      <w:pPr>
        <w:pStyle w:val="ListParagraph"/>
        <w:numPr>
          <w:ilvl w:val="2"/>
          <w:numId w:val="1"/>
        </w:numPr>
        <w:rPr>
          <w:i/>
        </w:rPr>
      </w:pPr>
      <w:r>
        <w:t>Starting at 41:25 in the full meeting recording</w:t>
      </w:r>
    </w:p>
    <w:p w:rsidR="00DC18DE" w:rsidRPr="00344909" w:rsidRDefault="00DC18DE" w:rsidP="00DC18DE">
      <w:pPr>
        <w:pStyle w:val="ListParagraph"/>
        <w:numPr>
          <w:ilvl w:val="1"/>
          <w:numId w:val="1"/>
        </w:numPr>
        <w:rPr>
          <w:i/>
        </w:rPr>
      </w:pPr>
      <w:r>
        <w:t>How</w:t>
      </w:r>
      <w:r w:rsidR="00344909">
        <w:t xml:space="preserve"> do you</w:t>
      </w:r>
      <w:r w:rsidR="008B5FBC">
        <w:t>/will you plan to</w:t>
      </w:r>
      <w:r w:rsidR="00344909">
        <w:t xml:space="preserve"> keep community early warning committees engaged</w:t>
      </w:r>
      <w:r w:rsidR="008B5FBC">
        <w:t xml:space="preserve"> in the work</w:t>
      </w:r>
      <w:r w:rsidR="00344909">
        <w:t xml:space="preserve">? </w:t>
      </w:r>
    </w:p>
    <w:p w:rsidR="00344909" w:rsidRPr="00DC18DE" w:rsidRDefault="00344909" w:rsidP="00344909">
      <w:pPr>
        <w:pStyle w:val="ListParagraph"/>
        <w:numPr>
          <w:ilvl w:val="2"/>
          <w:numId w:val="1"/>
        </w:numPr>
        <w:rPr>
          <w:i/>
        </w:rPr>
      </w:pPr>
      <w:r>
        <w:t>Starting at 45:50 in the full meeting recording</w:t>
      </w:r>
    </w:p>
    <w:p w:rsidR="00DC18DE" w:rsidRPr="00214374" w:rsidRDefault="00214374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What kinds of information </w:t>
      </w:r>
      <w:r w:rsidR="008B5FBC">
        <w:t>are the/</w:t>
      </w:r>
      <w:r>
        <w:t xml:space="preserve">will the community early warning committees be trained to collect? How </w:t>
      </w:r>
      <w:r w:rsidR="008B5FBC">
        <w:t>are they/</w:t>
      </w:r>
      <w:r>
        <w:t>will they be trained to interpret this information to ‘predict’ potential disasters?</w:t>
      </w:r>
    </w:p>
    <w:p w:rsidR="00214374" w:rsidRPr="00DC18DE" w:rsidRDefault="00214374" w:rsidP="00214374">
      <w:pPr>
        <w:pStyle w:val="ListParagraph"/>
        <w:numPr>
          <w:ilvl w:val="2"/>
          <w:numId w:val="1"/>
        </w:numPr>
        <w:rPr>
          <w:i/>
        </w:rPr>
      </w:pPr>
      <w:r>
        <w:lastRenderedPageBreak/>
        <w:t>Starting at 53:30 in the full meeting recording</w:t>
      </w:r>
    </w:p>
    <w:p w:rsidR="00DC18DE" w:rsidRPr="00F06557" w:rsidRDefault="00F06557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Is </w:t>
      </w:r>
      <w:proofErr w:type="spellStart"/>
      <w:r w:rsidR="008B5FBC">
        <w:t>BRCiS</w:t>
      </w:r>
      <w:proofErr w:type="spellEnd"/>
      <w:r>
        <w:t xml:space="preserve"> working to strengthen community capacities to reach out to other actors when the magnitude of a shock surpasses a community’s ability to respond? If so how?</w:t>
      </w:r>
    </w:p>
    <w:p w:rsidR="00F06557" w:rsidRPr="00F06557" w:rsidRDefault="00F06557" w:rsidP="00F06557">
      <w:pPr>
        <w:pStyle w:val="ListParagraph"/>
        <w:numPr>
          <w:ilvl w:val="2"/>
          <w:numId w:val="1"/>
        </w:numPr>
        <w:rPr>
          <w:i/>
        </w:rPr>
      </w:pPr>
      <w:r>
        <w:t>Starting at 57:35 in the full meeting recording</w:t>
      </w:r>
    </w:p>
    <w:p w:rsidR="00F06557" w:rsidRPr="00F06557" w:rsidRDefault="00BB3EEA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How often </w:t>
      </w:r>
      <w:r w:rsidR="008B5FBC">
        <w:t xml:space="preserve">does </w:t>
      </w:r>
      <w:proofErr w:type="spellStart"/>
      <w:r w:rsidR="008B5FBC">
        <w:t>BRCiS</w:t>
      </w:r>
      <w:proofErr w:type="spellEnd"/>
      <w:r>
        <w:t xml:space="preserve"> </w:t>
      </w:r>
      <w:r w:rsidR="008B5FBC">
        <w:t>plan</w:t>
      </w:r>
      <w:r>
        <w:t xml:space="preserve"> to have community early warning committees deliver collected information for use in the analysis and activation systems? </w:t>
      </w:r>
      <w:r w:rsidR="008B5FBC">
        <w:t>Does the program allow for</w:t>
      </w:r>
      <w:r>
        <w:t xml:space="preserve"> formal as well as informal transfers of information?</w:t>
      </w:r>
    </w:p>
    <w:p w:rsidR="00F06557" w:rsidRPr="00F06557" w:rsidRDefault="00F06557" w:rsidP="00F06557">
      <w:pPr>
        <w:pStyle w:val="ListParagraph"/>
        <w:numPr>
          <w:ilvl w:val="2"/>
          <w:numId w:val="1"/>
        </w:numPr>
        <w:rPr>
          <w:i/>
        </w:rPr>
      </w:pPr>
      <w:r>
        <w:t xml:space="preserve">Starting at </w:t>
      </w:r>
      <w:r w:rsidR="00BB3EEA">
        <w:t>1</w:t>
      </w:r>
      <w:r>
        <w:t>:</w:t>
      </w:r>
      <w:r w:rsidR="00BB3EEA">
        <w:t>05:27</w:t>
      </w:r>
      <w:r>
        <w:t xml:space="preserve"> in the full meeting recording</w:t>
      </w:r>
    </w:p>
    <w:p w:rsidR="00F06557" w:rsidRPr="00F06557" w:rsidRDefault="005B14CA" w:rsidP="00DC18DE">
      <w:pPr>
        <w:pStyle w:val="ListParagraph"/>
        <w:numPr>
          <w:ilvl w:val="1"/>
          <w:numId w:val="1"/>
        </w:numPr>
        <w:rPr>
          <w:i/>
        </w:rPr>
      </w:pPr>
      <w:r>
        <w:t xml:space="preserve">Do you have any examples of early warning </w:t>
      </w:r>
      <w:r w:rsidR="00BB3EEA">
        <w:t xml:space="preserve">used by pastoralist communities or </w:t>
      </w:r>
      <w:r w:rsidR="004F40DE">
        <w:t xml:space="preserve">other </w:t>
      </w:r>
      <w:r w:rsidR="00BB3EEA">
        <w:t xml:space="preserve">communities </w:t>
      </w:r>
      <w:r w:rsidR="004F40DE">
        <w:t>that</w:t>
      </w:r>
      <w:r w:rsidR="00BB3EEA">
        <w:t xml:space="preserve"> engage in livestock </w:t>
      </w:r>
      <w:r w:rsidR="004F40DE">
        <w:t>rearing</w:t>
      </w:r>
      <w:r w:rsidR="00BB3EEA">
        <w:t xml:space="preserve"> as a predominant livelihood</w:t>
      </w:r>
      <w:r>
        <w:t>?</w:t>
      </w:r>
    </w:p>
    <w:p w:rsidR="00F06557" w:rsidRPr="00DC18DE" w:rsidRDefault="00F06557" w:rsidP="00F06557">
      <w:pPr>
        <w:pStyle w:val="ListParagraph"/>
        <w:numPr>
          <w:ilvl w:val="2"/>
          <w:numId w:val="1"/>
        </w:numPr>
        <w:rPr>
          <w:i/>
        </w:rPr>
      </w:pPr>
      <w:r>
        <w:t xml:space="preserve">Starting at </w:t>
      </w:r>
      <w:r w:rsidR="00BB3EEA">
        <w:t>1</w:t>
      </w:r>
      <w:r>
        <w:t>:</w:t>
      </w:r>
      <w:r w:rsidR="00BB3EEA">
        <w:t>09:06</w:t>
      </w:r>
      <w:r>
        <w:t xml:space="preserve"> in the full meeting recording</w:t>
      </w:r>
    </w:p>
    <w:p w:rsidR="004F40DE" w:rsidRDefault="004F40DE"/>
    <w:p w:rsidR="004F40DE" w:rsidRPr="004F40DE" w:rsidRDefault="004F40DE" w:rsidP="004F40DE">
      <w:bookmarkStart w:id="0" w:name="_GoBack"/>
      <w:bookmarkEnd w:id="0"/>
    </w:p>
    <w:p w:rsidR="004F40DE" w:rsidRPr="004F40DE" w:rsidRDefault="004F40DE" w:rsidP="004F40DE"/>
    <w:p w:rsidR="004F40DE" w:rsidRPr="004F40DE" w:rsidRDefault="004F40DE" w:rsidP="004F40DE"/>
    <w:p w:rsidR="004F40DE" w:rsidRPr="004F40DE" w:rsidRDefault="004F40DE" w:rsidP="004F40DE"/>
    <w:p w:rsidR="004F40DE" w:rsidRPr="004F40DE" w:rsidRDefault="004F40DE" w:rsidP="004F40DE"/>
    <w:p w:rsidR="004F40DE" w:rsidRDefault="004F40DE" w:rsidP="004F40DE"/>
    <w:p w:rsidR="0008376A" w:rsidRPr="004F40DE" w:rsidRDefault="0008376A" w:rsidP="004F40DE">
      <w:pPr>
        <w:jc w:val="center"/>
      </w:pPr>
    </w:p>
    <w:sectPr w:rsidR="0008376A" w:rsidRPr="004F40DE" w:rsidSect="00214374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6A" w:rsidRDefault="0008376A" w:rsidP="0008376A">
      <w:pPr>
        <w:spacing w:after="0" w:line="240" w:lineRule="auto"/>
      </w:pPr>
      <w:r>
        <w:separator/>
      </w:r>
    </w:p>
  </w:endnote>
  <w:endnote w:type="continuationSeparator" w:id="0">
    <w:p w:rsidR="0008376A" w:rsidRDefault="0008376A" w:rsidP="0008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1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0DE" w:rsidRDefault="004F4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0DE" w:rsidRDefault="004F4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6A" w:rsidRDefault="0008376A" w:rsidP="0008376A">
      <w:pPr>
        <w:spacing w:after="0" w:line="240" w:lineRule="auto"/>
      </w:pPr>
      <w:r>
        <w:separator/>
      </w:r>
    </w:p>
  </w:footnote>
  <w:footnote w:type="continuationSeparator" w:id="0">
    <w:p w:rsidR="0008376A" w:rsidRDefault="0008376A" w:rsidP="0008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6A" w:rsidRDefault="0008376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327"/>
      <w:gridCol w:w="2328"/>
      <w:gridCol w:w="2328"/>
    </w:tblGrid>
    <w:tr w:rsidR="0008376A" w:rsidTr="0008376A">
      <w:tc>
        <w:tcPr>
          <w:tcW w:w="2337" w:type="dxa"/>
        </w:tcPr>
        <w:p w:rsidR="0008376A" w:rsidRDefault="0008376A">
          <w:pPr>
            <w:pStyle w:val="Header"/>
          </w:pPr>
          <w:r>
            <w:rPr>
              <w:noProof/>
            </w:rPr>
            <w:drawing>
              <wp:inline distT="0" distB="0" distL="0" distR="0" wp14:anchorId="326F2F27" wp14:editId="6E70CC0C">
                <wp:extent cx="1371600" cy="666742"/>
                <wp:effectExtent l="0" t="0" r="0" b="635"/>
                <wp:docPr id="7" name="Picture 7" descr="FANTA_III_2738_full_feb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ANTA_III_2738_full_feb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546" cy="6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:rsidR="0008376A" w:rsidRDefault="0008376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A8DE56" wp14:editId="6B668998">
                <wp:simplePos x="0" y="0"/>
                <wp:positionH relativeFrom="column">
                  <wp:posOffset>-6350</wp:posOffset>
                </wp:positionH>
                <wp:positionV relativeFrom="paragraph">
                  <wp:posOffset>-56515</wp:posOffset>
                </wp:positionV>
                <wp:extent cx="1466850" cy="676275"/>
                <wp:effectExtent l="0" t="0" r="0" b="9525"/>
                <wp:wrapNone/>
                <wp:docPr id="2" name="Picture 2" descr="FSN final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FSN final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3853DC" wp14:editId="17F609B3">
                <wp:simplePos x="0" y="0"/>
                <wp:positionH relativeFrom="column">
                  <wp:posOffset>2772410</wp:posOffset>
                </wp:positionH>
                <wp:positionV relativeFrom="paragraph">
                  <wp:posOffset>22860</wp:posOffset>
                </wp:positionV>
                <wp:extent cx="1699895" cy="590550"/>
                <wp:effectExtent l="0" t="0" r="0" b="0"/>
                <wp:wrapNone/>
                <wp:docPr id="1" name="Picture 1" descr="Horizontal_CMYK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orizontal_CMYK.eps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8" w:type="dxa"/>
        </w:tcPr>
        <w:p w:rsidR="0008376A" w:rsidRDefault="0008376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6912EB" wp14:editId="06078350">
                <wp:simplePos x="0" y="0"/>
                <wp:positionH relativeFrom="column">
                  <wp:posOffset>-26670</wp:posOffset>
                </wp:positionH>
                <wp:positionV relativeFrom="paragraph">
                  <wp:posOffset>19686</wp:posOffset>
                </wp:positionV>
                <wp:extent cx="1628775" cy="628650"/>
                <wp:effectExtent l="0" t="0" r="0" b="0"/>
                <wp:wrapNone/>
                <wp:docPr id="3" name="Picture 3" descr="TOPS-logo-fin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OPS-logo-final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62" t="43326" r="12262" b="38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8" w:type="dxa"/>
        </w:tcPr>
        <w:p w:rsidR="0008376A" w:rsidRDefault="0008376A">
          <w:pPr>
            <w:pStyle w:val="Header"/>
          </w:pPr>
        </w:p>
      </w:tc>
    </w:tr>
  </w:tbl>
  <w:p w:rsidR="0008376A" w:rsidRDefault="0008376A">
    <w:pPr>
      <w:pStyle w:val="Header"/>
    </w:pPr>
  </w:p>
  <w:p w:rsidR="0008376A" w:rsidRDefault="00083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71D"/>
    <w:multiLevelType w:val="multilevel"/>
    <w:tmpl w:val="0CB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04A1"/>
    <w:multiLevelType w:val="hybridMultilevel"/>
    <w:tmpl w:val="1E2CCD9E"/>
    <w:lvl w:ilvl="0" w:tplc="9FC6EE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6A"/>
    <w:rsid w:val="0008376A"/>
    <w:rsid w:val="00214374"/>
    <w:rsid w:val="00344909"/>
    <w:rsid w:val="004F40DE"/>
    <w:rsid w:val="005551E0"/>
    <w:rsid w:val="005B14CA"/>
    <w:rsid w:val="008B5FBC"/>
    <w:rsid w:val="00985F8A"/>
    <w:rsid w:val="009E6057"/>
    <w:rsid w:val="00B47CB4"/>
    <w:rsid w:val="00BB3EEA"/>
    <w:rsid w:val="00CB58EE"/>
    <w:rsid w:val="00DC18DE"/>
    <w:rsid w:val="00E26CBD"/>
    <w:rsid w:val="00ED7477"/>
    <w:rsid w:val="00F06557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F72A-144A-4C0B-A5F8-22BCAE3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6A"/>
  </w:style>
  <w:style w:type="paragraph" w:styleId="Footer">
    <w:name w:val="footer"/>
    <w:basedOn w:val="Normal"/>
    <w:link w:val="FooterChar"/>
    <w:uiPriority w:val="99"/>
    <w:unhideWhenUsed/>
    <w:rsid w:val="000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6A"/>
  </w:style>
  <w:style w:type="table" w:styleId="TableGrid">
    <w:name w:val="Table Grid"/>
    <w:basedOn w:val="TableNormal"/>
    <w:uiPriority w:val="39"/>
    <w:rsid w:val="000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D7477"/>
  </w:style>
  <w:style w:type="character" w:styleId="FollowedHyperlink">
    <w:name w:val="FollowedHyperlink"/>
    <w:basedOn w:val="DefaultParagraphFont"/>
    <w:uiPriority w:val="99"/>
    <w:semiHidden/>
    <w:unhideWhenUsed/>
    <w:rsid w:val="00ED7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nnetwork.org/sites/default/files/BRCiS%20PLEW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group.adobeconnect.com/p3uaiego0ta/?launcher=false&amp;fcsContent=true&amp;pbMode=norm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Glaeser</dc:creator>
  <cp:keywords/>
  <dc:description/>
  <cp:lastModifiedBy>Laura Glaeser</cp:lastModifiedBy>
  <cp:revision>2</cp:revision>
  <dcterms:created xsi:type="dcterms:W3CDTF">2015-06-18T19:28:00Z</dcterms:created>
  <dcterms:modified xsi:type="dcterms:W3CDTF">2015-06-18T19:28:00Z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510658894</vt:i4>
  </property>
  <property fmtid="{D5CDD505-2E9C-101B-9397-08002B2CF9AE}" pid="3" name="_NewReviewCycle">
    <vt:lpwstr/>
  </property>
  <property fmtid="{D5CDD505-2E9C-101B-9397-08002B2CF9AE}" pid="4" name="_EmailSubject">
    <vt:lpwstr>Notes from last week's PLEW meeting and planning for Sep (it's never too early, is it?) :-)</vt:lpwstr>
  </property>
  <property fmtid="{D5CDD505-2E9C-101B-9397-08002B2CF9AE}" pid="5" name="_AuthorEmail">
    <vt:lpwstr>lglaeser@fhi360.org</vt:lpwstr>
  </property>
  <property fmtid="{D5CDD505-2E9C-101B-9397-08002B2CF9AE}" pid="6" name="_AuthorEmailDisplayName">
    <vt:lpwstr>Laura Glaeser</vt:lpwstr>
  </property>
  <property fmtid="{D5CDD505-2E9C-101B-9397-08002B2CF9AE}" pid="7" name="_PreviousAdHocReviewCycleID">
    <vt:i4>-1987759351</vt:i4>
  </property>
</Properties>
</file>