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E2" w:rsidRDefault="00F533E2" w:rsidP="00D00889">
      <w:pPr>
        <w:spacing w:after="0" w:line="240" w:lineRule="auto"/>
      </w:pPr>
    </w:p>
    <w:p w:rsidR="00B876A3" w:rsidRDefault="00B876A3" w:rsidP="00D00889">
      <w:pPr>
        <w:spacing w:after="0" w:line="240" w:lineRule="auto"/>
      </w:pPr>
    </w:p>
    <w:p w:rsidR="0008376A" w:rsidRPr="0025352A" w:rsidRDefault="0008376A" w:rsidP="00D00889">
      <w:pPr>
        <w:spacing w:after="0" w:line="240" w:lineRule="auto"/>
        <w:jc w:val="center"/>
        <w:rPr>
          <w:b/>
          <w:bCs/>
        </w:rPr>
      </w:pPr>
      <w:r w:rsidRPr="0025352A">
        <w:rPr>
          <w:b/>
          <w:bCs/>
        </w:rPr>
        <w:t xml:space="preserve">Program-Level Early Warning </w:t>
      </w:r>
      <w:r w:rsidR="001C5F27" w:rsidRPr="0025352A">
        <w:rPr>
          <w:b/>
          <w:bCs/>
        </w:rPr>
        <w:t xml:space="preserve">(PLEW) </w:t>
      </w:r>
      <w:r w:rsidRPr="0025352A">
        <w:rPr>
          <w:b/>
          <w:bCs/>
        </w:rPr>
        <w:t xml:space="preserve">Interest Group </w:t>
      </w:r>
    </w:p>
    <w:p w:rsidR="0008376A" w:rsidRPr="0025352A" w:rsidRDefault="0008376A" w:rsidP="001C5F27">
      <w:pPr>
        <w:spacing w:after="0" w:line="240" w:lineRule="auto"/>
        <w:jc w:val="center"/>
      </w:pPr>
      <w:r w:rsidRPr="0025352A">
        <w:rPr>
          <w:b/>
          <w:bCs/>
        </w:rPr>
        <w:t>Meeting Agenda:</w:t>
      </w:r>
      <w:r w:rsidRPr="0025352A">
        <w:t xml:space="preserve"> </w:t>
      </w:r>
      <w:r w:rsidRPr="0025352A">
        <w:rPr>
          <w:b/>
        </w:rPr>
        <w:t>10 June 2014</w:t>
      </w:r>
    </w:p>
    <w:p w:rsidR="0008376A" w:rsidRPr="0025352A" w:rsidRDefault="0008376A" w:rsidP="00D00889">
      <w:pPr>
        <w:spacing w:after="0" w:line="240" w:lineRule="auto"/>
      </w:pPr>
    </w:p>
    <w:p w:rsidR="0008376A" w:rsidRPr="0025352A" w:rsidRDefault="0008376A" w:rsidP="00D0088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5352A">
        <w:rPr>
          <w:b/>
        </w:rPr>
        <w:t xml:space="preserve">Welcome and introductions </w:t>
      </w:r>
    </w:p>
    <w:p w:rsidR="0008376A" w:rsidRPr="0025352A" w:rsidRDefault="00D00889" w:rsidP="00D00889">
      <w:pPr>
        <w:pStyle w:val="ListParagraph"/>
        <w:numPr>
          <w:ilvl w:val="0"/>
          <w:numId w:val="3"/>
        </w:numPr>
        <w:spacing w:after="0" w:line="240" w:lineRule="auto"/>
      </w:pPr>
      <w:r w:rsidRPr="0025352A">
        <w:t xml:space="preserve">Attendees: Nick Anderson (Save the Children), Patrick Coonan (TOPS), Laura Glaeser (FANTA), Amy </w:t>
      </w:r>
      <w:proofErr w:type="spellStart"/>
      <w:r w:rsidRPr="0025352A">
        <w:t>Hillboe</w:t>
      </w:r>
      <w:proofErr w:type="spellEnd"/>
      <w:r w:rsidRPr="0025352A">
        <w:t xml:space="preserve"> (CRS), Brian Kriz (Save the Children), Kristina Ortiz, Mara Russell (Land O’Lakes), </w:t>
      </w:r>
      <w:proofErr w:type="spellStart"/>
      <w:r w:rsidRPr="0025352A">
        <w:t>Ruco</w:t>
      </w:r>
      <w:proofErr w:type="spellEnd"/>
      <w:r w:rsidRPr="0025352A">
        <w:t xml:space="preserve"> Van Der Merwe (Samaritan’s Purse), Anne </w:t>
      </w:r>
      <w:proofErr w:type="spellStart"/>
      <w:r w:rsidRPr="0025352A">
        <w:t>Wanlund</w:t>
      </w:r>
      <w:proofErr w:type="spellEnd"/>
      <w:r w:rsidRPr="0025352A">
        <w:t xml:space="preserve"> (OIC International)</w:t>
      </w:r>
    </w:p>
    <w:p w:rsidR="0008376A" w:rsidRPr="0025352A" w:rsidRDefault="0008376A" w:rsidP="00D00889">
      <w:pPr>
        <w:pStyle w:val="ListParagraph"/>
        <w:spacing w:after="0" w:line="240" w:lineRule="auto"/>
      </w:pPr>
    </w:p>
    <w:p w:rsidR="0008376A" w:rsidRPr="0025352A" w:rsidRDefault="0008376A" w:rsidP="00D0088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25352A">
        <w:rPr>
          <w:b/>
        </w:rPr>
        <w:t xml:space="preserve">Presentation and Q&amp;A: </w:t>
      </w:r>
      <w:r w:rsidRPr="0025352A">
        <w:rPr>
          <w:b/>
          <w:i/>
        </w:rPr>
        <w:t>Operational Considerations for Early Warning Systems - Jim DiFrancesca, PCI</w:t>
      </w:r>
      <w:r w:rsidRPr="0025352A">
        <w:rPr>
          <w:b/>
        </w:rPr>
        <w:t xml:space="preserve"> </w:t>
      </w:r>
    </w:p>
    <w:p w:rsidR="0008376A" w:rsidRPr="0025352A" w:rsidRDefault="00857961" w:rsidP="00857961">
      <w:pPr>
        <w:pStyle w:val="ListParagraph"/>
        <w:numPr>
          <w:ilvl w:val="0"/>
          <w:numId w:val="3"/>
        </w:numPr>
        <w:spacing w:after="0" w:line="240" w:lineRule="auto"/>
      </w:pPr>
      <w:r w:rsidRPr="0025352A">
        <w:t xml:space="preserve">Due to </w:t>
      </w:r>
      <w:r w:rsidR="0025352A" w:rsidRPr="0025352A">
        <w:t>unforeseen circumstances</w:t>
      </w:r>
      <w:r w:rsidRPr="0025352A">
        <w:t>, Jim was unable to attend today’</w:t>
      </w:r>
      <w:r w:rsidR="0025352A">
        <w:t>s meeting; he</w:t>
      </w:r>
      <w:r w:rsidRPr="0025352A">
        <w:t xml:space="preserve"> will present on operational considerations for early warning systems at a future PLEW meeting.</w:t>
      </w:r>
    </w:p>
    <w:p w:rsidR="0008376A" w:rsidRPr="0025352A" w:rsidRDefault="0008376A" w:rsidP="00D00889">
      <w:pPr>
        <w:pStyle w:val="ListParagraph"/>
        <w:spacing w:after="0" w:line="240" w:lineRule="auto"/>
      </w:pPr>
    </w:p>
    <w:p w:rsidR="0008376A" w:rsidRPr="0025352A" w:rsidRDefault="0008376A" w:rsidP="00D0088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25352A">
        <w:rPr>
          <w:b/>
        </w:rPr>
        <w:t xml:space="preserve">Presentation and Q&amp;A: </w:t>
      </w:r>
      <w:r w:rsidRPr="0025352A">
        <w:rPr>
          <w:b/>
          <w:i/>
        </w:rPr>
        <w:t xml:space="preserve">Farmer-Managed Weather Monitoring in Southern Zambia - Mara Russell, Land O’ Lakes </w:t>
      </w:r>
    </w:p>
    <w:p w:rsidR="0008376A" w:rsidRPr="0025352A" w:rsidRDefault="00857961" w:rsidP="00857961">
      <w:pPr>
        <w:pStyle w:val="ListParagraph"/>
        <w:numPr>
          <w:ilvl w:val="0"/>
          <w:numId w:val="3"/>
        </w:numPr>
        <w:spacing w:after="0" w:line="240" w:lineRule="auto"/>
      </w:pPr>
      <w:r w:rsidRPr="0025352A">
        <w:t xml:space="preserve">Mara’s presentation, related Q&amp;A, and discussion of the remainder of agenda items can be accessed here: </w:t>
      </w:r>
      <w:hyperlink r:id="rId7" w:history="1">
        <w:r w:rsidRPr="0025352A">
          <w:rPr>
            <w:rStyle w:val="Hyperlink"/>
          </w:rPr>
          <w:t>https://www.fuzemeeting.com/replay_meeting/16bfac72/6334663</w:t>
        </w:r>
      </w:hyperlink>
      <w:r w:rsidRPr="0025352A">
        <w:t>.</w:t>
      </w:r>
    </w:p>
    <w:p w:rsidR="0008376A" w:rsidRPr="0025352A" w:rsidRDefault="0008376A" w:rsidP="00D00889">
      <w:pPr>
        <w:pStyle w:val="ListParagraph"/>
        <w:spacing w:after="0" w:line="240" w:lineRule="auto"/>
      </w:pPr>
    </w:p>
    <w:p w:rsidR="0008376A" w:rsidRPr="0025352A" w:rsidRDefault="0008376A" w:rsidP="00D0088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25352A">
        <w:rPr>
          <w:b/>
        </w:rPr>
        <w:t xml:space="preserve">Setting the agenda: future meeting topics, points of contact, timeframes, etc. </w:t>
      </w:r>
    </w:p>
    <w:p w:rsidR="0008376A" w:rsidRPr="0025352A" w:rsidRDefault="00D00889" w:rsidP="00D00889">
      <w:pPr>
        <w:pStyle w:val="ListParagraph"/>
        <w:numPr>
          <w:ilvl w:val="0"/>
          <w:numId w:val="2"/>
        </w:numPr>
        <w:spacing w:after="0" w:line="240" w:lineRule="auto"/>
      </w:pPr>
      <w:r w:rsidRPr="0025352A">
        <w:t xml:space="preserve">Proposed meeting frequency: Every other month (the next meeting will be held </w:t>
      </w:r>
      <w:r w:rsidR="0025352A" w:rsidRPr="0025352A">
        <w:t>on/about</w:t>
      </w:r>
      <w:r w:rsidRPr="0025352A">
        <w:t xml:space="preserve"> August 2014)</w:t>
      </w:r>
    </w:p>
    <w:p w:rsidR="00D00889" w:rsidRPr="0025352A" w:rsidRDefault="00D00889" w:rsidP="00D00889">
      <w:pPr>
        <w:pStyle w:val="ListParagraph"/>
        <w:numPr>
          <w:ilvl w:val="0"/>
          <w:numId w:val="2"/>
        </w:numPr>
        <w:spacing w:after="0" w:line="240" w:lineRule="auto"/>
      </w:pPr>
      <w:r w:rsidRPr="0025352A">
        <w:t xml:space="preserve">Proposed meeting length: 1.5-2 hours, depending on content </w:t>
      </w:r>
    </w:p>
    <w:p w:rsidR="00D00889" w:rsidRPr="0025352A" w:rsidRDefault="00D00889" w:rsidP="00D00889">
      <w:pPr>
        <w:pStyle w:val="ListParagraph"/>
        <w:numPr>
          <w:ilvl w:val="0"/>
          <w:numId w:val="2"/>
        </w:numPr>
        <w:spacing w:after="0" w:line="240" w:lineRule="auto"/>
      </w:pPr>
      <w:r w:rsidRPr="0025352A">
        <w:t>Noted topics of interest for future meetings:</w:t>
      </w:r>
    </w:p>
    <w:p w:rsidR="00D00889" w:rsidRPr="0025352A" w:rsidRDefault="006658DF" w:rsidP="00D00889">
      <w:pPr>
        <w:pStyle w:val="ListParagraph"/>
        <w:numPr>
          <w:ilvl w:val="1"/>
          <w:numId w:val="2"/>
        </w:numPr>
        <w:spacing w:after="0" w:line="240" w:lineRule="auto"/>
      </w:pPr>
      <w:r w:rsidRPr="0025352A">
        <w:t>Disseminating collected early warning data and information</w:t>
      </w:r>
      <w:r w:rsidR="00D00889" w:rsidRPr="0025352A">
        <w:t xml:space="preserve"> – </w:t>
      </w:r>
      <w:r w:rsidR="00D516EA" w:rsidRPr="0025352A">
        <w:t>O</w:t>
      </w:r>
      <w:r w:rsidR="00D00889" w:rsidRPr="0025352A">
        <w:t xml:space="preserve">nce </w:t>
      </w:r>
      <w:r w:rsidR="00D516EA" w:rsidRPr="0025352A">
        <w:t>early warning</w:t>
      </w:r>
      <w:r w:rsidR="00D00889" w:rsidRPr="0025352A">
        <w:t xml:space="preserve"> data</w:t>
      </w:r>
      <w:r w:rsidR="00D516EA" w:rsidRPr="0025352A">
        <w:t xml:space="preserve"> is collected</w:t>
      </w:r>
      <w:r w:rsidR="00D00889" w:rsidRPr="0025352A">
        <w:t xml:space="preserve">, how </w:t>
      </w:r>
      <w:r w:rsidR="00D516EA" w:rsidRPr="0025352A">
        <w:t>can/do</w:t>
      </w:r>
      <w:r w:rsidR="00D00889" w:rsidRPr="0025352A">
        <w:t xml:space="preserve"> </w:t>
      </w:r>
      <w:r w:rsidR="00D516EA" w:rsidRPr="0025352A">
        <w:t xml:space="preserve">programs </w:t>
      </w:r>
      <w:r w:rsidR="00D00889" w:rsidRPr="0025352A">
        <w:t xml:space="preserve">diffuse the </w:t>
      </w:r>
      <w:r w:rsidR="0025352A">
        <w:t xml:space="preserve">data and </w:t>
      </w:r>
      <w:r w:rsidR="00D00889" w:rsidRPr="0025352A">
        <w:t>information to others</w:t>
      </w:r>
      <w:r w:rsidR="00D516EA" w:rsidRPr="0025352A">
        <w:t>?</w:t>
      </w:r>
    </w:p>
    <w:p w:rsidR="00D00889" w:rsidRPr="0025352A" w:rsidRDefault="006658DF" w:rsidP="00D00889">
      <w:pPr>
        <w:pStyle w:val="ListParagraph"/>
        <w:numPr>
          <w:ilvl w:val="1"/>
          <w:numId w:val="2"/>
        </w:numPr>
        <w:spacing w:after="0" w:line="240" w:lineRule="auto"/>
      </w:pPr>
      <w:r w:rsidRPr="0025352A">
        <w:t xml:space="preserve">PLEW </w:t>
      </w:r>
      <w:r w:rsidR="00D516EA" w:rsidRPr="0025352A">
        <w:t>e</w:t>
      </w:r>
      <w:r w:rsidR="00D00889" w:rsidRPr="0025352A">
        <w:t xml:space="preserve">lement </w:t>
      </w:r>
      <w:r w:rsidR="00D516EA" w:rsidRPr="0025352A">
        <w:t>s</w:t>
      </w:r>
      <w:r w:rsidR="00D00889" w:rsidRPr="0025352A">
        <w:t xml:space="preserve">ustainability – </w:t>
      </w:r>
      <w:r w:rsidR="00D516EA" w:rsidRPr="0025352A">
        <w:t>How can programs w</w:t>
      </w:r>
      <w:bookmarkStart w:id="0" w:name="_GoBack"/>
      <w:bookmarkEnd w:id="0"/>
      <w:r w:rsidR="00D516EA" w:rsidRPr="0025352A">
        <w:t xml:space="preserve">ork to ensure </w:t>
      </w:r>
      <w:r w:rsidR="00D00889" w:rsidRPr="0025352A">
        <w:t xml:space="preserve">maintenance of </w:t>
      </w:r>
      <w:r w:rsidR="00D516EA" w:rsidRPr="0025352A">
        <w:t xml:space="preserve">early warning </w:t>
      </w:r>
      <w:r w:rsidR="00D00889" w:rsidRPr="0025352A">
        <w:t xml:space="preserve">equipment and continuation of </w:t>
      </w:r>
      <w:r w:rsidR="00D516EA" w:rsidRPr="0025352A">
        <w:t xml:space="preserve">early warning-related </w:t>
      </w:r>
      <w:r w:rsidR="00D00889" w:rsidRPr="0025352A">
        <w:t>activities after project</w:t>
      </w:r>
      <w:r w:rsidR="00D516EA" w:rsidRPr="0025352A">
        <w:t>s close</w:t>
      </w:r>
      <w:r w:rsidR="0025352A">
        <w:t xml:space="preserve"> </w:t>
      </w:r>
      <w:r w:rsidR="00D516EA" w:rsidRPr="0025352A">
        <w:t>out?</w:t>
      </w:r>
      <w:r w:rsidR="00D00889" w:rsidRPr="0025352A">
        <w:t xml:space="preserve"> </w:t>
      </w:r>
    </w:p>
    <w:p w:rsidR="00D00889" w:rsidRPr="0025352A" w:rsidRDefault="00D00889" w:rsidP="00D00889">
      <w:pPr>
        <w:pStyle w:val="ListParagraph"/>
        <w:numPr>
          <w:ilvl w:val="1"/>
          <w:numId w:val="2"/>
        </w:numPr>
        <w:spacing w:after="0" w:line="240" w:lineRule="auto"/>
      </w:pPr>
      <w:r w:rsidRPr="0025352A">
        <w:t xml:space="preserve">Data quality </w:t>
      </w:r>
      <w:r w:rsidR="00D516EA" w:rsidRPr="0025352A">
        <w:t xml:space="preserve">– What approaches can programs take to ensure early warning data </w:t>
      </w:r>
      <w:r w:rsidR="00B876A3">
        <w:t>quality? What are the benefits/</w:t>
      </w:r>
      <w:r w:rsidR="00D516EA" w:rsidRPr="0025352A">
        <w:t xml:space="preserve">drawbacks of collecting data </w:t>
      </w:r>
      <w:r w:rsidR="00B876A3">
        <w:t>within</w:t>
      </w:r>
      <w:r w:rsidR="00D516EA" w:rsidRPr="0025352A">
        <w:t xml:space="preserve"> a program vs. using others’ data (e.g., host government data, remote sensing data)?</w:t>
      </w:r>
    </w:p>
    <w:p w:rsidR="00D00889" w:rsidRPr="0025352A" w:rsidRDefault="00D00889" w:rsidP="00D00889">
      <w:pPr>
        <w:pStyle w:val="ListParagraph"/>
        <w:numPr>
          <w:ilvl w:val="1"/>
          <w:numId w:val="2"/>
        </w:numPr>
        <w:spacing w:after="0" w:line="240" w:lineRule="auto"/>
      </w:pPr>
      <w:r w:rsidRPr="0025352A">
        <w:t xml:space="preserve">Crisis modifiers – </w:t>
      </w:r>
      <w:r w:rsidR="00D516EA" w:rsidRPr="0025352A">
        <w:t>C</w:t>
      </w:r>
      <w:r w:rsidRPr="0025352A">
        <w:t>ase studies of experiences</w:t>
      </w:r>
      <w:r w:rsidR="00D516EA" w:rsidRPr="0025352A">
        <w:t xml:space="preserve"> implementing crisis modifiers</w:t>
      </w:r>
    </w:p>
    <w:p w:rsidR="00D00889" w:rsidRPr="0025352A" w:rsidRDefault="00D00889" w:rsidP="00D00889">
      <w:pPr>
        <w:spacing w:after="0" w:line="240" w:lineRule="auto"/>
      </w:pPr>
    </w:p>
    <w:p w:rsidR="001C5F27" w:rsidRPr="0025352A" w:rsidRDefault="001C5F27" w:rsidP="001C5F2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25352A">
        <w:rPr>
          <w:b/>
        </w:rPr>
        <w:t>Other business</w:t>
      </w:r>
    </w:p>
    <w:p w:rsidR="001C5F27" w:rsidRPr="0025352A" w:rsidRDefault="001C5F27" w:rsidP="001C5F27">
      <w:pPr>
        <w:pStyle w:val="ListParagraph"/>
        <w:numPr>
          <w:ilvl w:val="0"/>
          <w:numId w:val="2"/>
        </w:numPr>
        <w:spacing w:after="0" w:line="240" w:lineRule="auto"/>
      </w:pPr>
      <w:r w:rsidRPr="0025352A">
        <w:t>The PLEW Interest Group will have a lunch table topics ‘booth’ at the 11 July session of the FSN Network Knowledge Sharing meeting.  If your organization has early warning-related materials (e.g., training modules, write ups on good practice/lessons learned) you would like to highlight at the table, please send them to Laura (</w:t>
      </w:r>
      <w:hyperlink r:id="rId8" w:history="1">
        <w:r w:rsidRPr="0025352A">
          <w:rPr>
            <w:rStyle w:val="Hyperlink"/>
          </w:rPr>
          <w:t>lglaeser@fhi360.org</w:t>
        </w:r>
      </w:hyperlink>
      <w:r w:rsidRPr="0025352A">
        <w:t xml:space="preserve">) by close of business </w:t>
      </w:r>
      <w:r w:rsidRPr="0025352A">
        <w:rPr>
          <w:b/>
          <w:u w:val="single"/>
        </w:rPr>
        <w:t>next Tuesday, 17 June</w:t>
      </w:r>
      <w:r w:rsidRPr="0025352A">
        <w:t>.</w:t>
      </w:r>
    </w:p>
    <w:p w:rsidR="001C5F27" w:rsidRPr="0025352A" w:rsidRDefault="001C5F27" w:rsidP="001C5F27">
      <w:pPr>
        <w:pStyle w:val="ListParagraph"/>
        <w:numPr>
          <w:ilvl w:val="0"/>
          <w:numId w:val="2"/>
        </w:numPr>
        <w:spacing w:after="0" w:line="240" w:lineRule="auto"/>
      </w:pPr>
      <w:r w:rsidRPr="0025352A">
        <w:t>Keep an eye on the PLEW Interest Group on the FSN Network site (</w:t>
      </w:r>
      <w:hyperlink r:id="rId9" w:history="1">
        <w:r w:rsidRPr="0025352A">
          <w:rPr>
            <w:rStyle w:val="Hyperlink"/>
          </w:rPr>
          <w:t>http://www.fsnnetwork.org/task-force/program-level-early-warning</w:t>
        </w:r>
      </w:hyperlink>
      <w:r w:rsidRPr="0025352A">
        <w:t>) as we begin to build it out with reference documents, discussions, and notices of upcoming early warning-related events in the weeks ahead.</w:t>
      </w:r>
    </w:p>
    <w:p w:rsidR="0008376A" w:rsidRPr="0025352A" w:rsidRDefault="0008376A" w:rsidP="00D00889">
      <w:pPr>
        <w:spacing w:after="0" w:line="240" w:lineRule="auto"/>
      </w:pPr>
    </w:p>
    <w:sectPr w:rsidR="0008376A" w:rsidRPr="0025352A" w:rsidSect="001C5F27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2A" w:rsidRDefault="0025352A" w:rsidP="0008376A">
      <w:pPr>
        <w:spacing w:after="0" w:line="240" w:lineRule="auto"/>
      </w:pPr>
      <w:r>
        <w:separator/>
      </w:r>
    </w:p>
  </w:endnote>
  <w:endnote w:type="continuationSeparator" w:id="0">
    <w:p w:rsidR="0025352A" w:rsidRDefault="0025352A" w:rsidP="0008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23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52A" w:rsidRDefault="002535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52A" w:rsidRDefault="00253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2A" w:rsidRDefault="0025352A" w:rsidP="0008376A">
      <w:pPr>
        <w:spacing w:after="0" w:line="240" w:lineRule="auto"/>
      </w:pPr>
      <w:r>
        <w:separator/>
      </w:r>
    </w:p>
  </w:footnote>
  <w:footnote w:type="continuationSeparator" w:id="0">
    <w:p w:rsidR="0025352A" w:rsidRDefault="0025352A" w:rsidP="0008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2A" w:rsidRDefault="0025352A">
    <w:pPr>
      <w:pStyle w:val="Header"/>
    </w:pPr>
  </w:p>
  <w:p w:rsidR="0025352A" w:rsidRDefault="0025352A">
    <w:pPr>
      <w:pStyle w:val="Header"/>
    </w:pPr>
  </w:p>
  <w:p w:rsidR="0025352A" w:rsidRDefault="00253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2327"/>
      <w:gridCol w:w="2328"/>
      <w:gridCol w:w="2328"/>
    </w:tblGrid>
    <w:tr w:rsidR="0025352A" w:rsidTr="006658DF">
      <w:tc>
        <w:tcPr>
          <w:tcW w:w="2337" w:type="dxa"/>
        </w:tcPr>
        <w:p w:rsidR="0025352A" w:rsidRDefault="0025352A" w:rsidP="001C5F27">
          <w:pPr>
            <w:pStyle w:val="Header"/>
          </w:pPr>
          <w:r>
            <w:rPr>
              <w:noProof/>
            </w:rPr>
            <w:drawing>
              <wp:inline distT="0" distB="0" distL="0" distR="0" wp14:anchorId="40C86EA5" wp14:editId="64499099">
                <wp:extent cx="1371600" cy="666742"/>
                <wp:effectExtent l="0" t="0" r="0" b="635"/>
                <wp:docPr id="4" name="Picture 4" descr="FANTA_III_2738_full_feb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ANTA_III_2738_full_feb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546" cy="68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7" w:type="dxa"/>
        </w:tcPr>
        <w:p w:rsidR="0025352A" w:rsidRDefault="0025352A" w:rsidP="001C5F2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53D238E" wp14:editId="458A06F5">
                <wp:simplePos x="0" y="0"/>
                <wp:positionH relativeFrom="column">
                  <wp:posOffset>-6350</wp:posOffset>
                </wp:positionH>
                <wp:positionV relativeFrom="paragraph">
                  <wp:posOffset>-56515</wp:posOffset>
                </wp:positionV>
                <wp:extent cx="1466850" cy="676275"/>
                <wp:effectExtent l="0" t="0" r="0" b="9525"/>
                <wp:wrapNone/>
                <wp:docPr id="5" name="Picture 5" descr="FSN final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FSN final.ep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B39AEF5" wp14:editId="4EF9D18F">
                <wp:simplePos x="0" y="0"/>
                <wp:positionH relativeFrom="column">
                  <wp:posOffset>2772410</wp:posOffset>
                </wp:positionH>
                <wp:positionV relativeFrom="paragraph">
                  <wp:posOffset>22860</wp:posOffset>
                </wp:positionV>
                <wp:extent cx="1699895" cy="590550"/>
                <wp:effectExtent l="0" t="0" r="0" b="0"/>
                <wp:wrapNone/>
                <wp:docPr id="6" name="Picture 6" descr="Horizontal_CMYK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orizontal_CMYK.eps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38" w:type="dxa"/>
        </w:tcPr>
        <w:p w:rsidR="0025352A" w:rsidRDefault="0025352A" w:rsidP="001C5F2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0E92BA5" wp14:editId="6C3C4AD4">
                <wp:simplePos x="0" y="0"/>
                <wp:positionH relativeFrom="column">
                  <wp:posOffset>-26670</wp:posOffset>
                </wp:positionH>
                <wp:positionV relativeFrom="paragraph">
                  <wp:posOffset>19686</wp:posOffset>
                </wp:positionV>
                <wp:extent cx="1628775" cy="628650"/>
                <wp:effectExtent l="0" t="0" r="0" b="0"/>
                <wp:wrapNone/>
                <wp:docPr id="8" name="Picture 8" descr="TOPS-logo-fin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OPS-logo-final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62" t="43326" r="12262" b="388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38" w:type="dxa"/>
        </w:tcPr>
        <w:p w:rsidR="0025352A" w:rsidRDefault="0025352A" w:rsidP="001C5F27">
          <w:pPr>
            <w:pStyle w:val="Header"/>
          </w:pPr>
        </w:p>
      </w:tc>
    </w:tr>
  </w:tbl>
  <w:p w:rsidR="0025352A" w:rsidRDefault="00253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71D"/>
    <w:multiLevelType w:val="multilevel"/>
    <w:tmpl w:val="0CB8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C32D8"/>
    <w:multiLevelType w:val="hybridMultilevel"/>
    <w:tmpl w:val="B87E4EB6"/>
    <w:lvl w:ilvl="0" w:tplc="64F46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72021"/>
    <w:multiLevelType w:val="hybridMultilevel"/>
    <w:tmpl w:val="3E908FBE"/>
    <w:lvl w:ilvl="0" w:tplc="67CEC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6A"/>
    <w:rsid w:val="0008376A"/>
    <w:rsid w:val="001A5B84"/>
    <w:rsid w:val="001C5F27"/>
    <w:rsid w:val="0025352A"/>
    <w:rsid w:val="006658DF"/>
    <w:rsid w:val="00857961"/>
    <w:rsid w:val="00B876A3"/>
    <w:rsid w:val="00D00889"/>
    <w:rsid w:val="00D516EA"/>
    <w:rsid w:val="00F5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A4F72A-144A-4C0B-A5F8-22BCAE3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6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6A"/>
  </w:style>
  <w:style w:type="paragraph" w:styleId="Footer">
    <w:name w:val="footer"/>
    <w:basedOn w:val="Normal"/>
    <w:link w:val="FooterChar"/>
    <w:uiPriority w:val="99"/>
    <w:unhideWhenUsed/>
    <w:rsid w:val="0008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76A"/>
  </w:style>
  <w:style w:type="table" w:styleId="TableGrid">
    <w:name w:val="Table Grid"/>
    <w:basedOn w:val="TableNormal"/>
    <w:uiPriority w:val="39"/>
    <w:rsid w:val="0008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laeser@fhi360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zemeeting.com/replay_meeting/16bfac72/633466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snnetwork.org/task-force/program-level-early-warnin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Glaeser</dc:creator>
  <cp:keywords/>
  <dc:description/>
  <cp:lastModifiedBy>Laura Glaeser</cp:lastModifiedBy>
  <cp:revision>5</cp:revision>
  <dcterms:created xsi:type="dcterms:W3CDTF">2014-06-10T18:41:00Z</dcterms:created>
  <dcterms:modified xsi:type="dcterms:W3CDTF">2014-06-10T19:02:00Z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-1536805264</vt:i4>
  </property>
  <property fmtid="{D5CDD505-2E9C-101B-9397-08002B2CF9AE}" pid="3" name="_NewReviewCycle">
    <vt:lpwstr/>
  </property>
  <property fmtid="{D5CDD505-2E9C-101B-9397-08002B2CF9AE}" pid="4" name="_EmailSubject">
    <vt:lpwstr>PLEW Meeting I notes for upload to the Interest Group site</vt:lpwstr>
  </property>
  <property fmtid="{D5CDD505-2E9C-101B-9397-08002B2CF9AE}" pid="5" name="_AuthorEmail">
    <vt:lpwstr>lglaeser@fhi360.org</vt:lpwstr>
  </property>
  <property fmtid="{D5CDD505-2E9C-101B-9397-08002B2CF9AE}" pid="6" name="_AuthorEmailDisplayName">
    <vt:lpwstr>Laura Glaeser</vt:lpwstr>
  </property>
  <property fmtid="{D5CDD505-2E9C-101B-9397-08002B2CF9AE}" pid="7" name="_PreviousAdHocReviewCycleID">
    <vt:i4>1125700069</vt:i4>
  </property>
</Properties>
</file>