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4050"/>
      </w:tblGrid>
      <w:tr w:rsidR="005215EB" w:rsidRPr="00C83072" w:rsidTr="007922F0">
        <w:tc>
          <w:tcPr>
            <w:tcW w:w="4968" w:type="dxa"/>
            <w:vAlign w:val="center"/>
          </w:tcPr>
          <w:p w:rsidR="005215EB" w:rsidRPr="00B2350D" w:rsidRDefault="00A438DF" w:rsidP="00FE001A">
            <w:pPr>
              <w:jc w:val="center"/>
              <w:rPr>
                <w:rFonts w:ascii="Garamond" w:hAnsi="Garamond"/>
                <w:lang w:val="fr-FR"/>
              </w:rPr>
            </w:pPr>
            <w:r>
              <w:rPr>
                <w:rFonts w:ascii="Garamond" w:hAnsi="Garamond"/>
                <w:noProof/>
              </w:rPr>
            </w:r>
            <w:r w:rsidR="007751BF" w:rsidRPr="00A438DF">
              <w:rPr>
                <w:rFonts w:ascii="Garamond" w:hAnsi="Garamond"/>
                <w:noProof/>
              </w:rPr>
              <w:pict>
                <v:group id="Canvas 2" o:spid="_x0000_s1026" editas="canvas" style="width:223.2pt;height:65.25pt;mso-position-horizontal-relative:char;mso-position-vertical-relative:line" coordsize="28346,8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346;height:8287;visibility:visible;mso-wrap-style:square">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8" type="#_x0000_t65" style="position:absolute;width:28346;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" fillcolor="#bcc589" stroked="f" strokecolor="#97581b" strokeweight="1.25pt">
                    <v:fill opacity="32896f"/>
                    <v:textbox style="mso-next-textbox:#AutoShape 4">
                      <w:txbxContent>
                        <w:p w:rsidR="00310FA1" w:rsidRPr="00DB39F2" w:rsidRDefault="00DB39F2" w:rsidP="007751BF">
                          <w:pPr>
                            <w:spacing w:before="0" w:after="0"/>
                            <w:rPr>
                              <w:sz w:val="20"/>
                              <w:szCs w:val="20"/>
                              <w:lang w:val="fr-FR"/>
                            </w:rPr>
                          </w:pPr>
                          <w:r w:rsidRPr="00DB39F2">
                            <w:rPr>
                              <w:rFonts w:cs="Arial"/>
                              <w:sz w:val="20"/>
                              <w:szCs w:val="20"/>
                              <w:lang w:val="fr-FR"/>
                            </w:rPr>
                            <w:t>Les sites physiques où les vivres sont distribués aux récipiendaires sont appelés sites de distribution, points de distribution finale (</w:t>
                          </w:r>
                          <w:r w:rsidR="002D64D7">
                            <w:rPr>
                              <w:rFonts w:cs="Arial"/>
                              <w:sz w:val="20"/>
                              <w:szCs w:val="20"/>
                              <w:lang w:val="fr-FR"/>
                            </w:rPr>
                            <w:t>PDF</w:t>
                          </w:r>
                          <w:r w:rsidRPr="00DB39F2">
                            <w:rPr>
                              <w:rFonts w:cs="Arial"/>
                              <w:sz w:val="20"/>
                              <w:szCs w:val="20"/>
                              <w:lang w:val="fr-FR"/>
                            </w:rPr>
                            <w:t>), centres de distribution ou centres d'utilisateurs finaux.</w:t>
                          </w:r>
                        </w:p>
                      </w:txbxContent>
                    </v:textbox>
                  </v:shape>
                  <w10:wrap type="none"/>
                  <w10:anchorlock/>
                </v:group>
              </w:pict>
            </w:r>
          </w:p>
        </w:tc>
        <w:tc>
          <w:tcPr>
            <w:tcW w:w="4050" w:type="dxa"/>
            <w:vAlign w:val="center"/>
          </w:tcPr>
          <w:p w:rsidR="005215EB" w:rsidRPr="007751BF" w:rsidRDefault="00DB39F2" w:rsidP="00E24F77">
            <w:pPr>
              <w:spacing w:before="0" w:after="0" w:line="252" w:lineRule="auto"/>
              <w:rPr>
                <w:rFonts w:eastAsia="Times New Roman" w:cs="Times New Roman"/>
                <w:sz w:val="20"/>
                <w:szCs w:val="20"/>
                <w:lang w:val="fr-FR"/>
              </w:rPr>
            </w:pPr>
            <w:r w:rsidRPr="007751BF">
              <w:rPr>
                <w:sz w:val="20"/>
                <w:szCs w:val="20"/>
                <w:lang w:val="fr-FR"/>
              </w:rPr>
              <w:t>Les sites de distribution sont généralement identifiés au cours de la phase de planification du programme. Avant d'identifier des sites spécifiques, il est essentiel de prendre en compte les critères suivants</w:t>
            </w:r>
            <w:r w:rsidR="00F6353B" w:rsidRPr="007751BF">
              <w:rPr>
                <w:rFonts w:eastAsia="Times New Roman" w:cs="Times New Roman"/>
                <w:sz w:val="20"/>
                <w:szCs w:val="20"/>
                <w:lang w:val="fr-FR"/>
              </w:rPr>
              <w:t>.</w:t>
            </w:r>
          </w:p>
        </w:tc>
      </w:tr>
    </w:tbl>
    <w:p w:rsidR="00B0347C" w:rsidRPr="00B2350D" w:rsidRDefault="00DB39F2" w:rsidP="007751BF">
      <w:pPr>
        <w:spacing w:before="0"/>
        <w:outlineLvl w:val="2"/>
        <w:rPr>
          <w:rFonts w:eastAsia="Times New Roman" w:cs="Times New Roman"/>
          <w:b/>
          <w:bCs/>
          <w:color w:val="237990"/>
          <w:sz w:val="28"/>
          <w:szCs w:val="28"/>
          <w:u w:val="single"/>
          <w:lang w:val="fr-FR"/>
        </w:rPr>
      </w:pPr>
      <w:r w:rsidRPr="00B2350D">
        <w:rPr>
          <w:rFonts w:eastAsia="Times New Roman" w:cs="Times New Roman"/>
          <w:b/>
          <w:bCs/>
          <w:color w:val="237990"/>
          <w:sz w:val="28"/>
          <w:szCs w:val="28"/>
          <w:lang w:val="fr-FR"/>
        </w:rPr>
        <w:t>Mécanismes de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3284"/>
        <w:gridCol w:w="4173"/>
      </w:tblGrid>
      <w:tr w:rsidR="00DB39F2" w:rsidRPr="00B2350D" w:rsidTr="007751BF">
        <w:trPr>
          <w:trHeight w:val="360"/>
          <w:jc w:val="center"/>
        </w:trPr>
        <w:tc>
          <w:tcPr>
            <w:tcW w:w="1763" w:type="dxa"/>
            <w:tcBorders>
              <w:top w:val="nil"/>
              <w:left w:val="nil"/>
              <w:bottom w:val="nil"/>
              <w:right w:val="single" w:sz="8" w:space="0" w:color="FFFFFF" w:themeColor="background1"/>
            </w:tcBorders>
            <w:shd w:val="clear" w:color="auto" w:fill="7C8029"/>
          </w:tcPr>
          <w:p w:rsidR="00DB39F2" w:rsidRPr="007751BF" w:rsidRDefault="00DB39F2" w:rsidP="007751BF">
            <w:pPr>
              <w:jc w:val="center"/>
              <w:rPr>
                <w:b/>
                <w:color w:val="FFFFFF" w:themeColor="background1"/>
                <w:lang w:val="fr-FR"/>
              </w:rPr>
            </w:pPr>
            <w:r w:rsidRPr="007751BF">
              <w:rPr>
                <w:b/>
                <w:color w:val="FFFFFF" w:themeColor="background1"/>
                <w:lang w:val="fr-FR"/>
              </w:rPr>
              <w:t>Méthode</w:t>
            </w:r>
          </w:p>
        </w:tc>
        <w:tc>
          <w:tcPr>
            <w:tcW w:w="3284" w:type="dxa"/>
            <w:tcBorders>
              <w:top w:val="nil"/>
              <w:left w:val="single" w:sz="8" w:space="0" w:color="FFFFFF" w:themeColor="background1"/>
              <w:bottom w:val="nil"/>
              <w:right w:val="single" w:sz="8" w:space="0" w:color="FFFFFF" w:themeColor="background1"/>
            </w:tcBorders>
            <w:shd w:val="clear" w:color="auto" w:fill="7C8029"/>
          </w:tcPr>
          <w:p w:rsidR="00DB39F2" w:rsidRPr="007751BF" w:rsidRDefault="00DB39F2" w:rsidP="007751BF">
            <w:pPr>
              <w:jc w:val="center"/>
              <w:rPr>
                <w:b/>
                <w:color w:val="FFFFFF" w:themeColor="background1"/>
                <w:lang w:val="fr-FR"/>
              </w:rPr>
            </w:pPr>
            <w:r w:rsidRPr="007751BF">
              <w:rPr>
                <w:b/>
                <w:color w:val="FFFFFF" w:themeColor="background1"/>
                <w:lang w:val="fr-FR"/>
              </w:rPr>
              <w:t>Avantages</w:t>
            </w:r>
          </w:p>
        </w:tc>
        <w:tc>
          <w:tcPr>
            <w:tcW w:w="4173" w:type="dxa"/>
            <w:tcBorders>
              <w:top w:val="nil"/>
              <w:left w:val="single" w:sz="8" w:space="0" w:color="FFFFFF" w:themeColor="background1"/>
              <w:bottom w:val="nil"/>
              <w:right w:val="nil"/>
            </w:tcBorders>
            <w:shd w:val="clear" w:color="auto" w:fill="7C8029"/>
          </w:tcPr>
          <w:p w:rsidR="00DB39F2" w:rsidRPr="007751BF" w:rsidRDefault="00DB39F2" w:rsidP="007751BF">
            <w:pPr>
              <w:jc w:val="center"/>
              <w:rPr>
                <w:b/>
                <w:color w:val="FFFFFF" w:themeColor="background1"/>
                <w:lang w:val="fr-FR"/>
              </w:rPr>
            </w:pPr>
            <w:r w:rsidRPr="007751BF">
              <w:rPr>
                <w:b/>
                <w:color w:val="FFFFFF" w:themeColor="background1"/>
                <w:lang w:val="fr-FR"/>
              </w:rPr>
              <w:t>Inconvénients</w:t>
            </w:r>
          </w:p>
        </w:tc>
      </w:tr>
      <w:tr w:rsidR="00DB39F2" w:rsidRPr="00C83072" w:rsidTr="007751BF">
        <w:trPr>
          <w:jc w:val="center"/>
        </w:trPr>
        <w:tc>
          <w:tcPr>
            <w:tcW w:w="1763" w:type="dxa"/>
            <w:tcBorders>
              <w:top w:val="nil"/>
              <w:left w:val="nil"/>
              <w:bottom w:val="single" w:sz="8" w:space="0" w:color="7C8029"/>
              <w:right w:val="single" w:sz="8" w:space="0" w:color="7C8029"/>
            </w:tcBorders>
          </w:tcPr>
          <w:p w:rsidR="00DB39F2" w:rsidRPr="00B2350D" w:rsidRDefault="002D64D7" w:rsidP="001521AC">
            <w:pPr>
              <w:rPr>
                <w:b/>
                <w:lang w:val="fr-FR"/>
              </w:rPr>
            </w:pPr>
            <w:r w:rsidRPr="00B2350D">
              <w:rPr>
                <w:b/>
                <w:lang w:val="fr-FR"/>
              </w:rPr>
              <w:t xml:space="preserve">Par le biais des </w:t>
            </w:r>
            <w:r w:rsidR="00B2350D" w:rsidRPr="00B2350D">
              <w:rPr>
                <w:b/>
                <w:lang w:val="fr-FR"/>
              </w:rPr>
              <w:t>autorités</w:t>
            </w:r>
            <w:r w:rsidRPr="00B2350D">
              <w:rPr>
                <w:b/>
                <w:lang w:val="fr-FR"/>
              </w:rPr>
              <w:t xml:space="preserve"> locales</w:t>
            </w:r>
          </w:p>
        </w:tc>
        <w:tc>
          <w:tcPr>
            <w:tcW w:w="3284" w:type="dxa"/>
            <w:tcBorders>
              <w:top w:val="nil"/>
              <w:left w:val="single" w:sz="8" w:space="0" w:color="7C8029"/>
              <w:bottom w:val="single" w:sz="8" w:space="0" w:color="7C8029"/>
              <w:right w:val="single" w:sz="8" w:space="0" w:color="7C8029"/>
            </w:tcBorders>
          </w:tcPr>
          <w:p w:rsidR="00DB39F2" w:rsidRPr="00B2350D" w:rsidRDefault="008B11F5" w:rsidP="007751BF">
            <w:pPr>
              <w:numPr>
                <w:ilvl w:val="0"/>
                <w:numId w:val="35"/>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Rapide et efficace lorsque l'infrastructure locale est suffisante</w:t>
            </w:r>
          </w:p>
          <w:p w:rsidR="00DB39F2" w:rsidRPr="00B2350D" w:rsidRDefault="008B11F5" w:rsidP="007751BF">
            <w:pPr>
              <w:numPr>
                <w:ilvl w:val="0"/>
                <w:numId w:val="35"/>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Renforce la capacité locale</w:t>
            </w:r>
          </w:p>
          <w:p w:rsidR="00DB39F2" w:rsidRPr="00B2350D" w:rsidRDefault="008B11F5" w:rsidP="007751BF">
            <w:pPr>
              <w:numPr>
                <w:ilvl w:val="0"/>
                <w:numId w:val="35"/>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Généralement utilisé pendant les premières phases de l'intervention d'urgence</w:t>
            </w:r>
          </w:p>
        </w:tc>
        <w:tc>
          <w:tcPr>
            <w:tcW w:w="4173" w:type="dxa"/>
            <w:tcBorders>
              <w:top w:val="nil"/>
              <w:left w:val="single" w:sz="8" w:space="0" w:color="7C8029"/>
              <w:bottom w:val="single" w:sz="8" w:space="0" w:color="7C8029"/>
              <w:right w:val="nil"/>
            </w:tcBorders>
          </w:tcPr>
          <w:p w:rsidR="00DB39F2" w:rsidRPr="00B2350D" w:rsidRDefault="008B11F5" w:rsidP="007751BF">
            <w:pPr>
              <w:numPr>
                <w:ilvl w:val="0"/>
                <w:numId w:val="36"/>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La capacité du gouvernement peut être limitée</w:t>
            </w:r>
          </w:p>
          <w:p w:rsidR="00DB39F2" w:rsidRPr="00B2350D" w:rsidRDefault="008B11F5" w:rsidP="007751BF">
            <w:pPr>
              <w:numPr>
                <w:ilvl w:val="0"/>
                <w:numId w:val="36"/>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Coût élevé lorsque l'infrastructure locale doit être renforcée</w:t>
            </w:r>
          </w:p>
          <w:p w:rsidR="00DB39F2" w:rsidRPr="00B2350D" w:rsidRDefault="008B11F5" w:rsidP="007751BF">
            <w:pPr>
              <w:numPr>
                <w:ilvl w:val="0"/>
                <w:numId w:val="36"/>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Le gouvernement (ou les fonctionnaires) peut</w:t>
            </w:r>
            <w:r w:rsidR="00C83072">
              <w:rPr>
                <w:rFonts w:ascii="Calibri" w:eastAsia="Times New Roman" w:hAnsi="Calibri" w:cs="Calibri"/>
                <w:sz w:val="20"/>
                <w:szCs w:val="20"/>
                <w:lang w:val="fr-FR"/>
              </w:rPr>
              <w:t xml:space="preserve"> </w:t>
            </w:r>
            <w:r w:rsidR="00E9760F" w:rsidRPr="00B2350D">
              <w:rPr>
                <w:rFonts w:ascii="Calibri" w:eastAsia="Times New Roman" w:hAnsi="Calibri" w:cs="Calibri"/>
                <w:sz w:val="20"/>
                <w:szCs w:val="20"/>
                <w:lang w:val="fr-FR"/>
              </w:rPr>
              <w:t>(peuvent)</w:t>
            </w:r>
            <w:r w:rsidRPr="00B2350D">
              <w:rPr>
                <w:rFonts w:ascii="Calibri" w:eastAsia="Times New Roman" w:hAnsi="Calibri" w:cs="Calibri"/>
                <w:sz w:val="20"/>
                <w:szCs w:val="20"/>
                <w:lang w:val="fr-FR"/>
              </w:rPr>
              <w:t xml:space="preserve"> avoir des motifs financiers ou politiques pour contrôler les distributions aux récipiendaires</w:t>
            </w:r>
          </w:p>
        </w:tc>
      </w:tr>
      <w:tr w:rsidR="00DB39F2" w:rsidRPr="00B2350D" w:rsidTr="007751BF">
        <w:trPr>
          <w:jc w:val="center"/>
        </w:trPr>
        <w:tc>
          <w:tcPr>
            <w:tcW w:w="1763" w:type="dxa"/>
            <w:tcBorders>
              <w:top w:val="single" w:sz="8" w:space="0" w:color="7C8029"/>
              <w:left w:val="nil"/>
              <w:bottom w:val="single" w:sz="8" w:space="0" w:color="7C8029"/>
              <w:right w:val="single" w:sz="8" w:space="0" w:color="7C8029"/>
            </w:tcBorders>
          </w:tcPr>
          <w:p w:rsidR="00DB39F2" w:rsidRPr="00B2350D" w:rsidRDefault="002D64D7" w:rsidP="001521AC">
            <w:pPr>
              <w:rPr>
                <w:lang w:val="fr-FR"/>
              </w:rPr>
            </w:pPr>
            <w:r w:rsidRPr="00B2350D">
              <w:rPr>
                <w:b/>
                <w:lang w:val="fr-FR"/>
              </w:rPr>
              <w:t>Par le biais de responsables</w:t>
            </w:r>
            <w:r w:rsidR="00DB39F2" w:rsidRPr="00B2350D">
              <w:rPr>
                <w:b/>
                <w:lang w:val="fr-FR"/>
              </w:rPr>
              <w:t xml:space="preserve"> communautaires</w:t>
            </w:r>
          </w:p>
        </w:tc>
        <w:tc>
          <w:tcPr>
            <w:tcW w:w="3284" w:type="dxa"/>
            <w:tcBorders>
              <w:top w:val="single" w:sz="8" w:space="0" w:color="7C8029"/>
              <w:left w:val="single" w:sz="8" w:space="0" w:color="7C8029"/>
              <w:bottom w:val="single" w:sz="8" w:space="0" w:color="7C8029"/>
              <w:right w:val="single" w:sz="8" w:space="0" w:color="7C8029"/>
            </w:tcBorders>
          </w:tcPr>
          <w:p w:rsidR="00DB39F2" w:rsidRPr="00B2350D" w:rsidRDefault="008B11F5"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Valeurs sociales et culturelles de la population respectées</w:t>
            </w:r>
          </w:p>
          <w:p w:rsidR="00DB39F2" w:rsidRPr="00B2350D" w:rsidRDefault="008B11F5"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Facile pour les populations dispersées</w:t>
            </w:r>
          </w:p>
          <w:p w:rsidR="00DB39F2" w:rsidRPr="00B2350D" w:rsidRDefault="008B11F5"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Faible coût et rapide</w:t>
            </w:r>
          </w:p>
          <w:p w:rsidR="00DB39F2" w:rsidRPr="00B2350D" w:rsidRDefault="008B11F5"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Pas d'enregistrement externe ou de cartes de ration nécessaires</w:t>
            </w:r>
          </w:p>
        </w:tc>
        <w:tc>
          <w:tcPr>
            <w:tcW w:w="4173" w:type="dxa"/>
            <w:tcBorders>
              <w:top w:val="single" w:sz="8" w:space="0" w:color="7C8029"/>
              <w:left w:val="single" w:sz="8" w:space="0" w:color="7C8029"/>
              <w:bottom w:val="single" w:sz="8" w:space="0" w:color="7C8029"/>
              <w:right w:val="nil"/>
            </w:tcBorders>
          </w:tcPr>
          <w:p w:rsidR="00DB39F2" w:rsidRPr="00B2350D" w:rsidRDefault="00895ED0"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Connaissance des structures sociales et des relations de pouvoir essentielles</w:t>
            </w:r>
          </w:p>
          <w:p w:rsidR="00DB39F2" w:rsidRPr="00B2350D" w:rsidRDefault="00895ED0"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Efficace seulement dans les petites communautés intactes</w:t>
            </w:r>
          </w:p>
          <w:p w:rsidR="00DB39F2" w:rsidRPr="00B2350D" w:rsidRDefault="00B2350D"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Risque</w:t>
            </w:r>
            <w:r w:rsidR="00895ED0" w:rsidRPr="00B2350D">
              <w:rPr>
                <w:rFonts w:ascii="Calibri" w:eastAsia="Times New Roman" w:hAnsi="Calibri" w:cs="Calibri"/>
                <w:sz w:val="20"/>
                <w:szCs w:val="20"/>
                <w:lang w:val="fr-FR"/>
              </w:rPr>
              <w:t xml:space="preserve"> d'abus si les structures sociales sont </w:t>
            </w:r>
            <w:r w:rsidR="00C83072">
              <w:rPr>
                <w:rFonts w:ascii="Calibri" w:eastAsia="Times New Roman" w:hAnsi="Calibri" w:cs="Calibri"/>
                <w:sz w:val="20"/>
                <w:szCs w:val="20"/>
                <w:lang w:val="fr-FR"/>
              </w:rPr>
              <w:t>perturb</w:t>
            </w:r>
            <w:r w:rsidR="00895ED0" w:rsidRPr="00B2350D">
              <w:rPr>
                <w:rFonts w:ascii="Calibri" w:eastAsia="Times New Roman" w:hAnsi="Calibri" w:cs="Calibri"/>
                <w:sz w:val="20"/>
                <w:szCs w:val="20"/>
                <w:lang w:val="fr-FR"/>
              </w:rPr>
              <w:t xml:space="preserve">ées ou remplacées par </w:t>
            </w:r>
            <w:r w:rsidR="00C83072">
              <w:rPr>
                <w:rFonts w:ascii="Calibri" w:eastAsia="Times New Roman" w:hAnsi="Calibri" w:cs="Calibri"/>
                <w:sz w:val="20"/>
                <w:szCs w:val="20"/>
                <w:lang w:val="fr-FR"/>
              </w:rPr>
              <w:t>des responsables abusant de leur pouvoir</w:t>
            </w:r>
          </w:p>
          <w:p w:rsidR="00DB39F2" w:rsidRPr="00B2350D" w:rsidRDefault="00895ED0"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Difficile à superviser</w:t>
            </w:r>
          </w:p>
        </w:tc>
      </w:tr>
      <w:tr w:rsidR="00DB39F2" w:rsidRPr="00C83072" w:rsidTr="007751BF">
        <w:trPr>
          <w:jc w:val="center"/>
        </w:trPr>
        <w:tc>
          <w:tcPr>
            <w:tcW w:w="1763" w:type="dxa"/>
            <w:tcBorders>
              <w:top w:val="single" w:sz="8" w:space="0" w:color="7C8029"/>
              <w:left w:val="nil"/>
              <w:bottom w:val="single" w:sz="8" w:space="0" w:color="7C8029"/>
              <w:right w:val="single" w:sz="8" w:space="0" w:color="7C8029"/>
            </w:tcBorders>
          </w:tcPr>
          <w:p w:rsidR="00DB39F2" w:rsidRPr="00B2350D" w:rsidRDefault="002D64D7" w:rsidP="001521AC">
            <w:pPr>
              <w:rPr>
                <w:b/>
                <w:lang w:val="fr-FR"/>
              </w:rPr>
            </w:pPr>
            <w:r w:rsidRPr="00B2350D">
              <w:rPr>
                <w:b/>
                <w:lang w:val="fr-FR"/>
              </w:rPr>
              <w:t>Par le biais de</w:t>
            </w:r>
            <w:r w:rsidR="00DB39F2" w:rsidRPr="00B2350D">
              <w:rPr>
                <w:b/>
                <w:lang w:val="fr-FR"/>
              </w:rPr>
              <w:t xml:space="preserve"> nouveaux groupes ou comités</w:t>
            </w:r>
          </w:p>
        </w:tc>
        <w:tc>
          <w:tcPr>
            <w:tcW w:w="3284" w:type="dxa"/>
            <w:tcBorders>
              <w:top w:val="single" w:sz="8" w:space="0" w:color="7C8029"/>
              <w:left w:val="single" w:sz="8" w:space="0" w:color="7C8029"/>
              <w:bottom w:val="single" w:sz="8" w:space="0" w:color="7C8029"/>
              <w:right w:val="single" w:sz="8" w:space="0" w:color="7C8029"/>
            </w:tcBorders>
          </w:tcPr>
          <w:p w:rsidR="00DB39F2" w:rsidRPr="00B2350D" w:rsidRDefault="00895ED0"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Affaiblit </w:t>
            </w:r>
            <w:r w:rsidR="002D64D7" w:rsidRPr="00B2350D">
              <w:rPr>
                <w:rFonts w:ascii="Calibri" w:eastAsia="Times New Roman" w:hAnsi="Calibri" w:cs="Calibri"/>
                <w:sz w:val="20"/>
                <w:szCs w:val="20"/>
                <w:lang w:val="fr-FR"/>
              </w:rPr>
              <w:t>les rapports</w:t>
            </w:r>
            <w:r w:rsidRPr="00B2350D">
              <w:rPr>
                <w:rFonts w:ascii="Calibri" w:eastAsia="Times New Roman" w:hAnsi="Calibri" w:cs="Calibri"/>
                <w:sz w:val="20"/>
                <w:szCs w:val="20"/>
                <w:lang w:val="fr-FR"/>
              </w:rPr>
              <w:t xml:space="preserve"> de pouvoir abusi</w:t>
            </w:r>
            <w:r w:rsidR="002D64D7" w:rsidRPr="00B2350D">
              <w:rPr>
                <w:rFonts w:ascii="Calibri" w:eastAsia="Times New Roman" w:hAnsi="Calibri" w:cs="Calibri"/>
                <w:sz w:val="20"/>
                <w:szCs w:val="20"/>
                <w:lang w:val="fr-FR"/>
              </w:rPr>
              <w:t>f</w:t>
            </w:r>
            <w:r w:rsidRPr="00B2350D">
              <w:rPr>
                <w:rFonts w:ascii="Calibri" w:eastAsia="Times New Roman" w:hAnsi="Calibri" w:cs="Calibri"/>
                <w:sz w:val="20"/>
                <w:szCs w:val="20"/>
                <w:lang w:val="fr-FR"/>
              </w:rPr>
              <w:t>s et réduit le risque d'abus</w:t>
            </w:r>
          </w:p>
          <w:p w:rsidR="00DB39F2" w:rsidRPr="00B2350D" w:rsidRDefault="002D64D7"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Une certaine p</w:t>
            </w:r>
            <w:r w:rsidR="00895ED0" w:rsidRPr="00B2350D">
              <w:rPr>
                <w:rFonts w:ascii="Calibri" w:eastAsia="Times New Roman" w:hAnsi="Calibri" w:cs="Calibri"/>
                <w:sz w:val="20"/>
                <w:szCs w:val="20"/>
                <w:lang w:val="fr-FR"/>
              </w:rPr>
              <w:t>articipation communautaire, en particulier la représentation des femmes</w:t>
            </w:r>
          </w:p>
          <w:p w:rsidR="00DB39F2" w:rsidRPr="00B2350D" w:rsidRDefault="00B2350D"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Autocontrôle</w:t>
            </w:r>
          </w:p>
          <w:p w:rsidR="00DB39F2" w:rsidRPr="00B2350D" w:rsidRDefault="00895ED0"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Faible coût</w:t>
            </w:r>
          </w:p>
        </w:tc>
        <w:tc>
          <w:tcPr>
            <w:tcW w:w="4173" w:type="dxa"/>
            <w:tcBorders>
              <w:top w:val="single" w:sz="8" w:space="0" w:color="7C8029"/>
              <w:left w:val="single" w:sz="8" w:space="0" w:color="7C8029"/>
              <w:bottom w:val="single" w:sz="8" w:space="0" w:color="7C8029"/>
              <w:right w:val="nil"/>
            </w:tcBorders>
          </w:tcPr>
          <w:p w:rsidR="00DB39F2" w:rsidRPr="00B2350D" w:rsidRDefault="002D64D7"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L</w:t>
            </w:r>
            <w:r w:rsidR="00895ED0" w:rsidRPr="00B2350D">
              <w:rPr>
                <w:rFonts w:ascii="Calibri" w:eastAsia="Times New Roman" w:hAnsi="Calibri" w:cs="Calibri"/>
                <w:sz w:val="20"/>
                <w:szCs w:val="20"/>
                <w:lang w:val="fr-FR"/>
              </w:rPr>
              <w:t>'enregistrement exter</w:t>
            </w:r>
            <w:r w:rsidR="00B2350D">
              <w:rPr>
                <w:rFonts w:ascii="Calibri" w:eastAsia="Times New Roman" w:hAnsi="Calibri" w:cs="Calibri"/>
                <w:sz w:val="20"/>
                <w:szCs w:val="20"/>
                <w:lang w:val="fr-FR"/>
              </w:rPr>
              <w:t>ne et les cartes de rations</w:t>
            </w:r>
            <w:r w:rsidR="00895ED0" w:rsidRPr="00B2350D">
              <w:rPr>
                <w:rFonts w:ascii="Calibri" w:eastAsia="Times New Roman" w:hAnsi="Calibri" w:cs="Calibri"/>
                <w:sz w:val="20"/>
                <w:szCs w:val="20"/>
                <w:lang w:val="fr-FR"/>
              </w:rPr>
              <w:t xml:space="preserve"> nécessaires dans certains cas</w:t>
            </w:r>
          </w:p>
          <w:p w:rsidR="00DB39F2" w:rsidRPr="00B2350D" w:rsidRDefault="00895ED0"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Approprié seulement dans des situations stables </w:t>
            </w:r>
          </w:p>
          <w:p w:rsidR="00DB39F2" w:rsidRPr="00B2350D" w:rsidRDefault="00895ED0"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Les groupes doivent être élus pour représenter vé</w:t>
            </w:r>
            <w:bookmarkStart w:id="0" w:name="_GoBack"/>
            <w:bookmarkEnd w:id="0"/>
            <w:r w:rsidRPr="00B2350D">
              <w:rPr>
                <w:rFonts w:ascii="Calibri" w:eastAsia="Times New Roman" w:hAnsi="Calibri" w:cs="Calibri"/>
                <w:sz w:val="20"/>
                <w:szCs w:val="20"/>
                <w:lang w:val="fr-FR"/>
              </w:rPr>
              <w:t>ritablement les communautés</w:t>
            </w:r>
          </w:p>
          <w:p w:rsidR="00DB39F2" w:rsidRPr="00B2350D" w:rsidRDefault="00C83072" w:rsidP="007751BF">
            <w:pPr>
              <w:numPr>
                <w:ilvl w:val="0"/>
                <w:numId w:val="37"/>
              </w:numPr>
              <w:spacing w:before="0" w:after="0"/>
              <w:ind w:left="216" w:hanging="216"/>
              <w:rPr>
                <w:rFonts w:ascii="Calibri" w:eastAsia="Times New Roman" w:hAnsi="Calibri" w:cs="Calibri"/>
                <w:sz w:val="20"/>
                <w:szCs w:val="20"/>
                <w:lang w:val="fr-FR"/>
              </w:rPr>
            </w:pPr>
            <w:r>
              <w:rPr>
                <w:rFonts w:ascii="Calibri" w:eastAsia="Times New Roman" w:hAnsi="Calibri" w:cs="Calibri"/>
                <w:sz w:val="20"/>
                <w:szCs w:val="20"/>
                <w:lang w:val="fr-FR"/>
              </w:rPr>
              <w:t>Mépris</w:t>
            </w:r>
            <w:r w:rsidR="00895ED0" w:rsidRPr="00B2350D">
              <w:rPr>
                <w:rFonts w:ascii="Calibri" w:eastAsia="Times New Roman" w:hAnsi="Calibri" w:cs="Calibri"/>
                <w:sz w:val="20"/>
                <w:szCs w:val="20"/>
                <w:lang w:val="fr-FR"/>
              </w:rPr>
              <w:t xml:space="preserve"> du leadership traditionnel</w:t>
            </w:r>
          </w:p>
          <w:p w:rsidR="00DB39F2" w:rsidRPr="00B2350D" w:rsidRDefault="00895ED0"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De vastes campagnes d'information sont nécessaires</w:t>
            </w:r>
          </w:p>
          <w:p w:rsidR="00DB39F2" w:rsidRPr="00B2350D" w:rsidRDefault="00895ED0"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Des plans doivent être mis en place pour contre</w:t>
            </w:r>
            <w:r w:rsidR="002D64D7" w:rsidRPr="00B2350D">
              <w:rPr>
                <w:rFonts w:ascii="Calibri" w:eastAsia="Times New Roman" w:hAnsi="Calibri" w:cs="Calibri"/>
                <w:sz w:val="20"/>
                <w:szCs w:val="20"/>
                <w:lang w:val="fr-FR"/>
              </w:rPr>
              <w:t>carre</w:t>
            </w:r>
            <w:r w:rsidRPr="00B2350D">
              <w:rPr>
                <w:rFonts w:ascii="Calibri" w:eastAsia="Times New Roman" w:hAnsi="Calibri" w:cs="Calibri"/>
                <w:sz w:val="20"/>
                <w:szCs w:val="20"/>
                <w:lang w:val="fr-FR"/>
              </w:rPr>
              <w:t>r les efforts visant à miner de nouveaux groupes par de vieux groupes établis</w:t>
            </w:r>
          </w:p>
        </w:tc>
      </w:tr>
      <w:tr w:rsidR="00B0347C" w:rsidRPr="00C83072" w:rsidTr="007751BF">
        <w:trPr>
          <w:jc w:val="center"/>
        </w:trPr>
        <w:tc>
          <w:tcPr>
            <w:tcW w:w="1763" w:type="dxa"/>
            <w:tcBorders>
              <w:top w:val="single" w:sz="8" w:space="0" w:color="7C8029"/>
              <w:left w:val="nil"/>
              <w:bottom w:val="single" w:sz="8" w:space="0" w:color="7C8029"/>
              <w:right w:val="single" w:sz="8" w:space="0" w:color="7C8029"/>
            </w:tcBorders>
          </w:tcPr>
          <w:p w:rsidR="00B0347C" w:rsidRPr="00B2350D" w:rsidRDefault="00DB39F2" w:rsidP="005E451E">
            <w:pPr>
              <w:autoSpaceDE w:val="0"/>
              <w:autoSpaceDN w:val="0"/>
              <w:adjustRightInd w:val="0"/>
              <w:spacing w:before="60" w:after="60"/>
              <w:rPr>
                <w:rFonts w:ascii="Calibri" w:eastAsia="Times New Roman" w:hAnsi="Calibri" w:cs="Calibri"/>
                <w:b/>
                <w:sz w:val="20"/>
                <w:szCs w:val="20"/>
                <w:lang w:val="fr-FR"/>
              </w:rPr>
            </w:pPr>
            <w:r w:rsidRPr="00B2350D">
              <w:rPr>
                <w:rFonts w:ascii="Calibri" w:eastAsia="Times New Roman" w:hAnsi="Calibri" w:cs="Calibri"/>
                <w:b/>
                <w:sz w:val="20"/>
                <w:szCs w:val="20"/>
                <w:lang w:val="fr-FR"/>
              </w:rPr>
              <w:t xml:space="preserve">Directement aux ménages en groupes ou individuellement </w:t>
            </w:r>
            <w:r w:rsidR="00B0347C" w:rsidRPr="00B2350D">
              <w:rPr>
                <w:rFonts w:ascii="Calibri" w:eastAsia="Times New Roman" w:hAnsi="Calibri" w:cs="Calibri"/>
                <w:b/>
                <w:sz w:val="20"/>
                <w:szCs w:val="20"/>
                <w:vertAlign w:val="superscript"/>
                <w:lang w:val="fr-FR"/>
              </w:rPr>
              <w:t>(1)</w:t>
            </w:r>
          </w:p>
          <w:p w:rsidR="00B0347C" w:rsidRPr="00B2350D" w:rsidRDefault="00B0347C" w:rsidP="005E451E">
            <w:pPr>
              <w:spacing w:before="60" w:after="60"/>
              <w:rPr>
                <w:rFonts w:ascii="Calibri" w:eastAsia="Times New Roman" w:hAnsi="Calibri" w:cs="Calibri"/>
                <w:b/>
                <w:sz w:val="20"/>
                <w:szCs w:val="20"/>
                <w:lang w:val="fr-FR"/>
              </w:rPr>
            </w:pPr>
          </w:p>
        </w:tc>
        <w:tc>
          <w:tcPr>
            <w:tcW w:w="3284" w:type="dxa"/>
            <w:tcBorders>
              <w:top w:val="single" w:sz="8" w:space="0" w:color="7C8029"/>
              <w:left w:val="single" w:sz="8" w:space="0" w:color="7C8029"/>
              <w:bottom w:val="single" w:sz="8" w:space="0" w:color="7C8029"/>
              <w:right w:val="single" w:sz="8" w:space="0" w:color="7C8029"/>
            </w:tcBorders>
          </w:tcPr>
          <w:p w:rsidR="00B0347C" w:rsidRPr="00B2350D" w:rsidRDefault="00895ED0"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Efficace pour les grandes populations non structurées</w:t>
            </w:r>
          </w:p>
          <w:p w:rsidR="00B0347C" w:rsidRPr="00B2350D" w:rsidRDefault="00895ED0"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Contrôle initial </w:t>
            </w:r>
            <w:r w:rsidR="002D64D7" w:rsidRPr="00B2350D">
              <w:rPr>
                <w:rFonts w:ascii="Calibri" w:eastAsia="Times New Roman" w:hAnsi="Calibri" w:cs="Calibri"/>
                <w:sz w:val="20"/>
                <w:szCs w:val="20"/>
                <w:lang w:val="fr-FR"/>
              </w:rPr>
              <w:t>des</w:t>
            </w:r>
            <w:r w:rsidRPr="00B2350D">
              <w:rPr>
                <w:rFonts w:ascii="Calibri" w:eastAsia="Times New Roman" w:hAnsi="Calibri" w:cs="Calibri"/>
                <w:sz w:val="20"/>
                <w:szCs w:val="20"/>
                <w:lang w:val="fr-FR"/>
              </w:rPr>
              <w:t xml:space="preserve"> numéros de destinataires</w:t>
            </w:r>
          </w:p>
          <w:p w:rsidR="00B0347C" w:rsidRPr="00B2350D" w:rsidRDefault="00E94D1D"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Affaiblit les relations de pouvoir abusives et le leadership</w:t>
            </w:r>
          </w:p>
          <w:p w:rsidR="00B0347C" w:rsidRPr="00B2350D" w:rsidRDefault="00E94D1D"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Moins de risque de distribution inégale</w:t>
            </w:r>
          </w:p>
          <w:p w:rsidR="00B0347C" w:rsidRPr="00B2350D" w:rsidRDefault="00E94D1D"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Facile à </w:t>
            </w:r>
            <w:r w:rsidR="002D64D7" w:rsidRPr="00B2350D">
              <w:rPr>
                <w:rFonts w:ascii="Calibri" w:eastAsia="Times New Roman" w:hAnsi="Calibri" w:cs="Calibri"/>
                <w:sz w:val="20"/>
                <w:szCs w:val="20"/>
                <w:lang w:val="fr-FR"/>
              </w:rPr>
              <w:t>contrôler</w:t>
            </w:r>
          </w:p>
        </w:tc>
        <w:tc>
          <w:tcPr>
            <w:tcW w:w="4173" w:type="dxa"/>
            <w:tcBorders>
              <w:top w:val="single" w:sz="8" w:space="0" w:color="7C8029"/>
              <w:left w:val="single" w:sz="8" w:space="0" w:color="7C8029"/>
              <w:bottom w:val="single" w:sz="8" w:space="0" w:color="7C8029"/>
              <w:right w:val="nil"/>
            </w:tcBorders>
          </w:tcPr>
          <w:p w:rsidR="00B0347C" w:rsidRPr="00B2350D" w:rsidRDefault="00E94D1D" w:rsidP="007751BF">
            <w:pPr>
              <w:numPr>
                <w:ilvl w:val="0"/>
                <w:numId w:val="37"/>
              </w:numPr>
              <w:spacing w:before="6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Coût élevé (personnel, matériel, temps)</w:t>
            </w:r>
          </w:p>
          <w:p w:rsidR="00B0347C" w:rsidRPr="00B2350D" w:rsidRDefault="00E94D1D" w:rsidP="007751BF">
            <w:pPr>
              <w:numPr>
                <w:ilvl w:val="0"/>
                <w:numId w:val="37"/>
              </w:numPr>
              <w:spacing w:before="0" w:after="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Participation limitée des </w:t>
            </w:r>
            <w:r w:rsidR="00B2350D" w:rsidRPr="00B2350D">
              <w:rPr>
                <w:rFonts w:ascii="Calibri" w:eastAsia="Times New Roman" w:hAnsi="Calibri" w:cs="Calibri"/>
                <w:sz w:val="20"/>
                <w:szCs w:val="20"/>
                <w:lang w:val="fr-FR"/>
              </w:rPr>
              <w:t>récipiendaires</w:t>
            </w:r>
          </w:p>
          <w:p w:rsidR="00B0347C" w:rsidRPr="00B2350D" w:rsidRDefault="00C83072" w:rsidP="007751BF">
            <w:pPr>
              <w:numPr>
                <w:ilvl w:val="0"/>
                <w:numId w:val="37"/>
              </w:numPr>
              <w:spacing w:before="0" w:after="0"/>
              <w:ind w:left="216" w:hanging="216"/>
              <w:rPr>
                <w:rFonts w:ascii="Calibri" w:eastAsia="Times New Roman" w:hAnsi="Calibri" w:cs="Calibri"/>
                <w:sz w:val="20"/>
                <w:szCs w:val="20"/>
                <w:lang w:val="fr-FR"/>
              </w:rPr>
            </w:pPr>
            <w:r>
              <w:rPr>
                <w:rFonts w:ascii="Calibri" w:eastAsia="Times New Roman" w:hAnsi="Calibri" w:cs="Calibri"/>
                <w:sz w:val="20"/>
                <w:szCs w:val="20"/>
                <w:lang w:val="fr-FR"/>
              </w:rPr>
              <w:t>Cartes de ration et d’i</w:t>
            </w:r>
            <w:r w:rsidR="00E94D1D" w:rsidRPr="00B2350D">
              <w:rPr>
                <w:rFonts w:ascii="Calibri" w:eastAsia="Times New Roman" w:hAnsi="Calibri" w:cs="Calibri"/>
                <w:sz w:val="20"/>
                <w:szCs w:val="20"/>
                <w:lang w:val="fr-FR"/>
              </w:rPr>
              <w:t>nscription nécessaires</w:t>
            </w:r>
          </w:p>
          <w:p w:rsidR="005E451E" w:rsidRPr="00B2350D" w:rsidRDefault="00E94D1D" w:rsidP="007751BF">
            <w:pPr>
              <w:numPr>
                <w:ilvl w:val="0"/>
                <w:numId w:val="37"/>
              </w:numPr>
              <w:spacing w:before="0" w:after="60"/>
              <w:ind w:left="216" w:hanging="216"/>
              <w:rPr>
                <w:rFonts w:ascii="Calibri" w:eastAsia="Times New Roman" w:hAnsi="Calibri" w:cs="Calibri"/>
                <w:sz w:val="20"/>
                <w:szCs w:val="20"/>
                <w:lang w:val="fr-FR"/>
              </w:rPr>
            </w:pPr>
            <w:r w:rsidRPr="00B2350D">
              <w:rPr>
                <w:rFonts w:ascii="Calibri" w:eastAsia="Times New Roman" w:hAnsi="Calibri" w:cs="Calibri"/>
                <w:sz w:val="20"/>
                <w:szCs w:val="20"/>
                <w:lang w:val="fr-FR"/>
              </w:rPr>
              <w:t xml:space="preserve">Dans les distributions de groupe, tous les membres peuvent ne pas recevoir </w:t>
            </w:r>
            <w:r w:rsidR="00C83072">
              <w:rPr>
                <w:rFonts w:ascii="Calibri" w:eastAsia="Times New Roman" w:hAnsi="Calibri" w:cs="Calibri"/>
                <w:sz w:val="20"/>
                <w:szCs w:val="20"/>
                <w:lang w:val="fr-FR"/>
              </w:rPr>
              <w:t>les mêmes quantités</w:t>
            </w:r>
          </w:p>
          <w:p w:rsidR="00B0347C" w:rsidRPr="00B2350D" w:rsidRDefault="00B0347C" w:rsidP="005E451E">
            <w:pPr>
              <w:spacing w:before="60" w:after="60"/>
              <w:ind w:left="216" w:hanging="216"/>
              <w:rPr>
                <w:rFonts w:ascii="Calibri" w:eastAsia="Times New Roman" w:hAnsi="Calibri" w:cs="Calibri"/>
                <w:sz w:val="20"/>
                <w:szCs w:val="20"/>
                <w:lang w:val="fr-FR"/>
              </w:rPr>
            </w:pPr>
          </w:p>
        </w:tc>
      </w:tr>
    </w:tbl>
    <w:p w:rsidR="00B0347C" w:rsidRPr="00B2350D" w:rsidRDefault="00B2350D" w:rsidP="007751BF">
      <w:pPr>
        <w:autoSpaceDE w:val="0"/>
        <w:autoSpaceDN w:val="0"/>
        <w:adjustRightInd w:val="0"/>
        <w:spacing w:before="0" w:after="0"/>
        <w:ind w:left="432"/>
        <w:jc w:val="right"/>
        <w:rPr>
          <w:rFonts w:ascii="Arial" w:eastAsia="Times New Roman" w:hAnsi="Arial" w:cs="Arial"/>
          <w:b/>
          <w:sz w:val="16"/>
          <w:szCs w:val="16"/>
          <w:vertAlign w:val="superscript"/>
          <w:lang w:val="fr-FR"/>
        </w:rPr>
      </w:pPr>
      <w:r w:rsidRPr="00B2350D">
        <w:rPr>
          <w:rFonts w:eastAsia="Times New Roman" w:cs="Times New Roman"/>
          <w:sz w:val="16"/>
          <w:szCs w:val="16"/>
          <w:lang w:val="fr-FR"/>
        </w:rPr>
        <w:lastRenderedPageBreak/>
        <w:t>Adapté</w:t>
      </w:r>
      <w:r w:rsidR="00B0347C" w:rsidRPr="00B2350D">
        <w:rPr>
          <w:rFonts w:eastAsia="Times New Roman" w:cs="Times New Roman"/>
          <w:sz w:val="16"/>
          <w:szCs w:val="16"/>
          <w:lang w:val="fr-FR"/>
        </w:rPr>
        <w:t xml:space="preserve"> </w:t>
      </w:r>
      <w:r w:rsidR="002D64D7" w:rsidRPr="00B2350D">
        <w:rPr>
          <w:rFonts w:eastAsia="Times New Roman" w:cs="Times New Roman"/>
          <w:sz w:val="16"/>
          <w:szCs w:val="16"/>
          <w:lang w:val="fr-FR"/>
        </w:rPr>
        <w:t>de l’ouvrage intitule “</w:t>
      </w:r>
      <w:r w:rsidR="00B0347C" w:rsidRPr="00B2350D">
        <w:rPr>
          <w:rFonts w:eastAsia="Times New Roman" w:cs="Times New Roman"/>
          <w:sz w:val="16"/>
          <w:szCs w:val="16"/>
          <w:lang w:val="fr-FR"/>
        </w:rPr>
        <w:t xml:space="preserve">Emergency Field Operations </w:t>
      </w:r>
      <w:proofErr w:type="spellStart"/>
      <w:r w:rsidR="00B0347C" w:rsidRPr="00B2350D">
        <w:rPr>
          <w:rFonts w:eastAsia="Times New Roman" w:cs="Times New Roman"/>
          <w:sz w:val="16"/>
          <w:szCs w:val="16"/>
          <w:lang w:val="fr-FR"/>
        </w:rPr>
        <w:t>Pocketbook</w:t>
      </w:r>
      <w:proofErr w:type="spellEnd"/>
      <w:r w:rsidR="002D64D7" w:rsidRPr="00B2350D">
        <w:rPr>
          <w:rFonts w:eastAsia="Times New Roman" w:cs="Times New Roman"/>
          <w:sz w:val="16"/>
          <w:szCs w:val="16"/>
          <w:lang w:val="fr-FR"/>
        </w:rPr>
        <w:t>”</w:t>
      </w:r>
      <w:r w:rsidR="00B0347C" w:rsidRPr="00B2350D">
        <w:rPr>
          <w:rFonts w:eastAsia="Times New Roman" w:cs="Times New Roman"/>
          <w:sz w:val="16"/>
          <w:szCs w:val="16"/>
          <w:lang w:val="fr-FR"/>
        </w:rPr>
        <w:t xml:space="preserve">, </w:t>
      </w:r>
      <w:r w:rsidR="002D64D7" w:rsidRPr="00B2350D">
        <w:rPr>
          <w:rFonts w:eastAsia="Times New Roman" w:cs="Times New Roman"/>
          <w:sz w:val="16"/>
          <w:szCs w:val="16"/>
          <w:lang w:val="fr-FR"/>
        </w:rPr>
        <w:t>PAM</w:t>
      </w:r>
      <w:r w:rsidR="00B0347C" w:rsidRPr="00B2350D">
        <w:rPr>
          <w:rFonts w:eastAsia="Times New Roman" w:cs="Times New Roman"/>
          <w:sz w:val="16"/>
          <w:szCs w:val="16"/>
          <w:lang w:val="fr-FR"/>
        </w:rPr>
        <w:t>, 2002</w:t>
      </w:r>
    </w:p>
    <w:p w:rsidR="00B0347C" w:rsidRPr="007751BF" w:rsidRDefault="00B0347C" w:rsidP="007751BF">
      <w:pPr>
        <w:autoSpaceDE w:val="0"/>
        <w:autoSpaceDN w:val="0"/>
        <w:adjustRightInd w:val="0"/>
        <w:spacing w:after="0"/>
        <w:rPr>
          <w:rFonts w:ascii="Calibri" w:eastAsia="Times New Roman" w:hAnsi="Calibri" w:cs="Calibri"/>
          <w:sz w:val="18"/>
          <w:szCs w:val="18"/>
          <w:lang w:val="fr-FR"/>
        </w:rPr>
      </w:pPr>
      <w:r w:rsidRPr="00B2350D">
        <w:rPr>
          <w:rFonts w:ascii="Arial" w:eastAsia="Times New Roman" w:hAnsi="Arial" w:cs="Arial"/>
          <w:b/>
          <w:sz w:val="18"/>
          <w:szCs w:val="18"/>
          <w:vertAlign w:val="superscript"/>
          <w:lang w:val="fr-FR"/>
        </w:rPr>
        <w:t>(1)</w:t>
      </w:r>
      <w:r w:rsidRPr="00B2350D">
        <w:rPr>
          <w:rFonts w:ascii="Arial" w:eastAsia="Times New Roman" w:hAnsi="Arial" w:cs="Arial"/>
          <w:b/>
          <w:sz w:val="18"/>
          <w:szCs w:val="18"/>
          <w:lang w:val="fr-FR"/>
        </w:rPr>
        <w:t xml:space="preserve"> </w:t>
      </w:r>
      <w:r w:rsidR="00E94D1D" w:rsidRPr="00B2350D">
        <w:rPr>
          <w:rFonts w:ascii="Calibri" w:eastAsia="Times New Roman" w:hAnsi="Calibri" w:cs="Calibri"/>
          <w:sz w:val="18"/>
          <w:szCs w:val="18"/>
          <w:lang w:val="fr-FR"/>
        </w:rPr>
        <w:t xml:space="preserve">Où la distribution est </w:t>
      </w:r>
      <w:r w:rsidR="00D91731" w:rsidRPr="00B2350D">
        <w:rPr>
          <w:rFonts w:ascii="Calibri" w:eastAsia="Times New Roman" w:hAnsi="Calibri" w:cs="Calibri"/>
          <w:sz w:val="18"/>
          <w:szCs w:val="18"/>
          <w:lang w:val="fr-FR"/>
        </w:rPr>
        <w:t>destinée</w:t>
      </w:r>
      <w:r w:rsidR="00E94D1D" w:rsidRPr="00B2350D">
        <w:rPr>
          <w:rFonts w:ascii="Calibri" w:eastAsia="Times New Roman" w:hAnsi="Calibri" w:cs="Calibri"/>
          <w:sz w:val="18"/>
          <w:szCs w:val="18"/>
          <w:lang w:val="fr-FR"/>
        </w:rPr>
        <w:t xml:space="preserve"> aux ménages</w:t>
      </w:r>
      <w:r w:rsidR="002D64D7" w:rsidRPr="00B2350D">
        <w:rPr>
          <w:rFonts w:ascii="Calibri" w:eastAsia="Times New Roman" w:hAnsi="Calibri" w:cs="Calibri"/>
          <w:sz w:val="18"/>
          <w:szCs w:val="18"/>
          <w:lang w:val="fr-FR"/>
        </w:rPr>
        <w:t xml:space="preserve"> </w:t>
      </w:r>
      <w:proofErr w:type="gramStart"/>
      <w:r w:rsidRPr="00B2350D">
        <w:rPr>
          <w:rFonts w:ascii="Calibri" w:eastAsia="Times New Roman" w:hAnsi="Calibri" w:cs="Calibri"/>
          <w:sz w:val="18"/>
          <w:szCs w:val="18"/>
          <w:lang w:val="fr-FR"/>
        </w:rPr>
        <w:t>:</w:t>
      </w:r>
      <w:r w:rsidR="00E94D1D" w:rsidRPr="00B2350D">
        <w:rPr>
          <w:rFonts w:ascii="Calibri" w:eastAsia="Times New Roman" w:hAnsi="Calibri" w:cs="Calibri"/>
          <w:sz w:val="18"/>
          <w:szCs w:val="18"/>
          <w:lang w:val="fr-FR"/>
        </w:rPr>
        <w:t>La</w:t>
      </w:r>
      <w:proofErr w:type="gramEnd"/>
      <w:r w:rsidR="00E94D1D" w:rsidRPr="00B2350D">
        <w:rPr>
          <w:rFonts w:ascii="Calibri" w:eastAsia="Times New Roman" w:hAnsi="Calibri" w:cs="Calibri"/>
          <w:sz w:val="18"/>
          <w:szCs w:val="18"/>
          <w:lang w:val="fr-FR"/>
        </w:rPr>
        <w:t xml:space="preserve"> distribution aux représentants des </w:t>
      </w:r>
      <w:r w:rsidR="00E94D1D" w:rsidRPr="00B2350D">
        <w:rPr>
          <w:rFonts w:ascii="Calibri" w:eastAsia="Times New Roman" w:hAnsi="Calibri" w:cs="Calibri"/>
          <w:b/>
          <w:sz w:val="18"/>
          <w:szCs w:val="18"/>
          <w:lang w:val="fr-FR"/>
        </w:rPr>
        <w:t>ménages individuels</w:t>
      </w:r>
      <w:r w:rsidR="00E94D1D" w:rsidRPr="00B2350D">
        <w:rPr>
          <w:rFonts w:ascii="Calibri" w:eastAsia="Times New Roman" w:hAnsi="Calibri" w:cs="Calibri"/>
          <w:sz w:val="18"/>
          <w:szCs w:val="18"/>
          <w:lang w:val="fr-FR"/>
        </w:rPr>
        <w:t xml:space="preserve"> assure un contrôle plus direct des agences, mais nécessite des ressources considérables</w:t>
      </w:r>
      <w:r w:rsidR="00DC43D1" w:rsidRPr="00B2350D">
        <w:rPr>
          <w:rFonts w:ascii="Calibri" w:eastAsia="Times New Roman" w:hAnsi="Calibri" w:cs="Calibri"/>
          <w:sz w:val="18"/>
          <w:szCs w:val="18"/>
          <w:lang w:val="fr-FR"/>
        </w:rPr>
        <w:t>.</w:t>
      </w:r>
      <w:r w:rsidR="007751BF">
        <w:rPr>
          <w:rFonts w:ascii="Calibri" w:eastAsia="Times New Roman" w:hAnsi="Calibri" w:cs="Calibri"/>
          <w:sz w:val="18"/>
          <w:szCs w:val="18"/>
          <w:lang w:val="fr-FR"/>
        </w:rPr>
        <w:t xml:space="preserve"> </w:t>
      </w:r>
      <w:r w:rsidR="00D91731" w:rsidRPr="00B2350D">
        <w:rPr>
          <w:rFonts w:ascii="Calibri" w:eastAsia="Times New Roman" w:hAnsi="Calibri" w:cs="Calibri"/>
          <w:sz w:val="18"/>
          <w:szCs w:val="18"/>
          <w:lang w:val="fr-FR"/>
        </w:rPr>
        <w:t xml:space="preserve">La distribution à </w:t>
      </w:r>
      <w:r w:rsidR="00D91731" w:rsidRPr="00B2350D">
        <w:rPr>
          <w:rFonts w:ascii="Calibri" w:eastAsia="Times New Roman" w:hAnsi="Calibri" w:cs="Calibri"/>
          <w:b/>
          <w:sz w:val="18"/>
          <w:szCs w:val="18"/>
          <w:lang w:val="fr-FR"/>
        </w:rPr>
        <w:t>des groupes de ménages</w:t>
      </w:r>
      <w:r w:rsidR="00D91731" w:rsidRPr="00B2350D">
        <w:rPr>
          <w:rFonts w:ascii="Calibri" w:eastAsia="Times New Roman" w:hAnsi="Calibri" w:cs="Calibri"/>
          <w:sz w:val="18"/>
          <w:szCs w:val="18"/>
          <w:lang w:val="fr-FR"/>
        </w:rPr>
        <w:t xml:space="preserve"> prédéfinis est moins gourmande en ressources et moins déconsidérée pour les récipiendaires, mais n'est réalisable que </w:t>
      </w:r>
      <w:r w:rsidR="00C83072">
        <w:rPr>
          <w:rFonts w:ascii="Calibri" w:eastAsia="Times New Roman" w:hAnsi="Calibri" w:cs="Calibri"/>
          <w:sz w:val="18"/>
          <w:szCs w:val="18"/>
          <w:lang w:val="fr-FR"/>
        </w:rPr>
        <w:t>lorsque l’</w:t>
      </w:r>
      <w:r w:rsidR="002D64D7" w:rsidRPr="00B2350D">
        <w:rPr>
          <w:rFonts w:ascii="Calibri" w:eastAsia="Times New Roman" w:hAnsi="Calibri" w:cs="Calibri"/>
          <w:sz w:val="18"/>
          <w:szCs w:val="18"/>
          <w:lang w:val="fr-FR"/>
        </w:rPr>
        <w:t>enregistrement</w:t>
      </w:r>
      <w:r w:rsidR="00C83072">
        <w:rPr>
          <w:rFonts w:ascii="Calibri" w:eastAsia="Times New Roman" w:hAnsi="Calibri" w:cs="Calibri"/>
          <w:sz w:val="18"/>
          <w:szCs w:val="18"/>
          <w:lang w:val="fr-FR"/>
        </w:rPr>
        <w:t xml:space="preserve"> se déroule bien</w:t>
      </w:r>
      <w:r w:rsidR="00D91731" w:rsidRPr="00B2350D">
        <w:rPr>
          <w:rFonts w:ascii="Calibri" w:eastAsia="Times New Roman" w:hAnsi="Calibri" w:cs="Calibri"/>
          <w:sz w:val="18"/>
          <w:szCs w:val="18"/>
          <w:lang w:val="fr-FR"/>
        </w:rPr>
        <w:t xml:space="preserve"> et que des groupes homogènes peuvent être identifiés.</w:t>
      </w:r>
      <w:r w:rsidRPr="00B2350D">
        <w:rPr>
          <w:rFonts w:eastAsia="Times New Roman" w:cs="Arial"/>
          <w:b/>
          <w:sz w:val="28"/>
          <w:szCs w:val="28"/>
          <w:lang w:val="fr-FR"/>
        </w:rPr>
        <w:br w:type="page"/>
      </w:r>
    </w:p>
    <w:p w:rsidR="00952BF6" w:rsidRPr="00B2350D" w:rsidRDefault="00D91731" w:rsidP="00106FE2">
      <w:pPr>
        <w:spacing w:after="240"/>
        <w:rPr>
          <w:b/>
          <w:color w:val="237990"/>
          <w:sz w:val="28"/>
          <w:szCs w:val="28"/>
          <w:lang w:val="fr-FR"/>
        </w:rPr>
      </w:pPr>
      <w:r w:rsidRPr="00B2350D">
        <w:rPr>
          <w:b/>
          <w:color w:val="237990"/>
          <w:sz w:val="28"/>
          <w:szCs w:val="28"/>
          <w:lang w:val="fr-FR"/>
        </w:rPr>
        <w:lastRenderedPageBreak/>
        <w:t>Considérations sur la sélection du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595"/>
      </w:tblGrid>
      <w:tr w:rsidR="00D91731" w:rsidRPr="00B2350D" w:rsidTr="00A22A7C">
        <w:tc>
          <w:tcPr>
            <w:tcW w:w="648" w:type="dxa"/>
          </w:tcPr>
          <w:p w:rsidR="00D91731" w:rsidRPr="00B2350D" w:rsidRDefault="00D91731" w:rsidP="00653A35">
            <w:pPr>
              <w:spacing w:after="0"/>
              <w:rPr>
                <w:sz w:val="28"/>
                <w:szCs w:val="28"/>
                <w:lang w:val="fr-FR"/>
              </w:rPr>
            </w:pPr>
            <w:r w:rsidRPr="00B2350D">
              <w:rPr>
                <w:sz w:val="28"/>
                <w:szCs w:val="28"/>
                <w:lang w:val="fr-FR"/>
              </w:rPr>
              <w:sym w:font="Webdings" w:char="F063"/>
            </w:r>
          </w:p>
        </w:tc>
        <w:tc>
          <w:tcPr>
            <w:tcW w:w="8595" w:type="dxa"/>
          </w:tcPr>
          <w:p w:rsidR="00D91731" w:rsidRPr="007751BF" w:rsidRDefault="00D91731" w:rsidP="00D11EAB">
            <w:pPr>
              <w:spacing w:before="80"/>
              <w:rPr>
                <w:sz w:val="20"/>
                <w:szCs w:val="20"/>
                <w:lang w:val="fr-FR"/>
              </w:rPr>
            </w:pPr>
            <w:r w:rsidRPr="007751BF">
              <w:rPr>
                <w:sz w:val="20"/>
                <w:szCs w:val="20"/>
                <w:lang w:val="fr-FR"/>
              </w:rPr>
              <w:t>Densité de la population</w:t>
            </w:r>
          </w:p>
        </w:tc>
      </w:tr>
      <w:tr w:rsidR="00D91731" w:rsidRPr="00C83072" w:rsidTr="00A22A7C">
        <w:tc>
          <w:tcPr>
            <w:tcW w:w="648" w:type="dxa"/>
          </w:tcPr>
          <w:p w:rsidR="00D91731" w:rsidRPr="00B2350D" w:rsidRDefault="00D91731" w:rsidP="00653A35">
            <w:pPr>
              <w:spacing w:after="0"/>
              <w:rPr>
                <w:sz w:val="28"/>
                <w:szCs w:val="28"/>
                <w:lang w:val="fr-FR"/>
              </w:rPr>
            </w:pPr>
            <w:r w:rsidRPr="00B2350D">
              <w:rPr>
                <w:sz w:val="28"/>
                <w:szCs w:val="28"/>
                <w:lang w:val="fr-FR"/>
              </w:rPr>
              <w:sym w:font="Webdings" w:char="F063"/>
            </w:r>
          </w:p>
        </w:tc>
        <w:tc>
          <w:tcPr>
            <w:tcW w:w="8595" w:type="dxa"/>
          </w:tcPr>
          <w:p w:rsidR="00D91731" w:rsidRPr="007751BF" w:rsidRDefault="00D91731" w:rsidP="00D11EAB">
            <w:pPr>
              <w:spacing w:before="80"/>
              <w:rPr>
                <w:sz w:val="20"/>
                <w:szCs w:val="20"/>
                <w:lang w:val="fr-FR"/>
              </w:rPr>
            </w:pPr>
            <w:r w:rsidRPr="007751BF">
              <w:rPr>
                <w:sz w:val="20"/>
                <w:szCs w:val="20"/>
                <w:lang w:val="fr-FR"/>
              </w:rPr>
              <w:t xml:space="preserve">Accès </w:t>
            </w:r>
            <w:r w:rsidR="002D64D7" w:rsidRPr="007751BF">
              <w:rPr>
                <w:sz w:val="20"/>
                <w:szCs w:val="20"/>
                <w:lang w:val="fr-FR"/>
              </w:rPr>
              <w:t>durant toute l’</w:t>
            </w:r>
            <w:r w:rsidR="00B2350D" w:rsidRPr="007751BF">
              <w:rPr>
                <w:sz w:val="20"/>
                <w:szCs w:val="20"/>
                <w:lang w:val="fr-FR"/>
              </w:rPr>
              <w:t>année</w:t>
            </w:r>
            <w:r w:rsidR="002D64D7" w:rsidRPr="007751BF">
              <w:rPr>
                <w:sz w:val="20"/>
                <w:szCs w:val="20"/>
                <w:lang w:val="fr-FR"/>
              </w:rPr>
              <w:t xml:space="preserve"> des</w:t>
            </w:r>
            <w:r w:rsidRPr="007751BF">
              <w:rPr>
                <w:sz w:val="20"/>
                <w:szCs w:val="20"/>
                <w:lang w:val="fr-FR"/>
              </w:rPr>
              <w:t xml:space="preserve"> transporteurs de vivres (préférable)</w:t>
            </w:r>
          </w:p>
        </w:tc>
      </w:tr>
      <w:tr w:rsidR="00D91731" w:rsidRPr="00C83072" w:rsidTr="00A22A7C">
        <w:tc>
          <w:tcPr>
            <w:tcW w:w="648" w:type="dxa"/>
          </w:tcPr>
          <w:p w:rsidR="00D91731" w:rsidRPr="00B2350D" w:rsidRDefault="00D91731" w:rsidP="00653A35">
            <w:pPr>
              <w:spacing w:after="0"/>
              <w:rPr>
                <w:sz w:val="28"/>
                <w:szCs w:val="28"/>
                <w:lang w:val="fr-FR"/>
              </w:rPr>
            </w:pPr>
            <w:r w:rsidRPr="00B2350D">
              <w:rPr>
                <w:sz w:val="28"/>
                <w:szCs w:val="28"/>
                <w:lang w:val="fr-FR"/>
              </w:rPr>
              <w:sym w:font="Webdings" w:char="F063"/>
            </w:r>
          </w:p>
        </w:tc>
        <w:tc>
          <w:tcPr>
            <w:tcW w:w="8595" w:type="dxa"/>
          </w:tcPr>
          <w:p w:rsidR="00D91731" w:rsidRPr="007751BF" w:rsidRDefault="00D91731" w:rsidP="00D11EAB">
            <w:pPr>
              <w:spacing w:before="80" w:after="60"/>
              <w:rPr>
                <w:sz w:val="20"/>
                <w:szCs w:val="20"/>
                <w:lang w:val="fr-FR"/>
              </w:rPr>
            </w:pPr>
            <w:r w:rsidRPr="007751BF">
              <w:rPr>
                <w:sz w:val="20"/>
                <w:szCs w:val="20"/>
                <w:lang w:val="fr-FR"/>
              </w:rPr>
              <w:t>Accessibilité pour les récipiendaires (éviter les sites situés à plus de 5 km du domicile des récipiendaires)</w:t>
            </w:r>
          </w:p>
        </w:tc>
      </w:tr>
      <w:tr w:rsidR="00D91731" w:rsidRPr="00C83072" w:rsidTr="00A22A7C">
        <w:tc>
          <w:tcPr>
            <w:tcW w:w="648" w:type="dxa"/>
          </w:tcPr>
          <w:p w:rsidR="00D91731" w:rsidRPr="00B2350D" w:rsidRDefault="00D91731" w:rsidP="00653A35">
            <w:pPr>
              <w:spacing w:after="0"/>
              <w:rPr>
                <w:sz w:val="28"/>
                <w:szCs w:val="28"/>
                <w:lang w:val="fr-FR"/>
              </w:rPr>
            </w:pPr>
            <w:r w:rsidRPr="00B2350D">
              <w:rPr>
                <w:sz w:val="28"/>
                <w:szCs w:val="28"/>
                <w:lang w:val="fr-FR"/>
              </w:rPr>
              <w:sym w:font="Webdings" w:char="F063"/>
            </w:r>
          </w:p>
        </w:tc>
        <w:tc>
          <w:tcPr>
            <w:tcW w:w="8595" w:type="dxa"/>
          </w:tcPr>
          <w:p w:rsidR="00D91731" w:rsidRPr="007751BF" w:rsidRDefault="00D91731" w:rsidP="00D11EAB">
            <w:pPr>
              <w:spacing w:before="80" w:after="60"/>
              <w:rPr>
                <w:sz w:val="20"/>
                <w:szCs w:val="20"/>
                <w:lang w:val="fr-FR"/>
              </w:rPr>
            </w:pPr>
            <w:r w:rsidRPr="007751BF">
              <w:rPr>
                <w:sz w:val="20"/>
                <w:szCs w:val="20"/>
                <w:lang w:val="fr-FR"/>
              </w:rPr>
              <w:t>Taille (</w:t>
            </w:r>
            <w:r w:rsidR="002D64D7" w:rsidRPr="007751BF">
              <w:rPr>
                <w:sz w:val="20"/>
                <w:szCs w:val="20"/>
                <w:lang w:val="fr-FR"/>
              </w:rPr>
              <w:t xml:space="preserve">garantir </w:t>
            </w:r>
            <w:r w:rsidRPr="007751BF">
              <w:rPr>
                <w:sz w:val="20"/>
                <w:szCs w:val="20"/>
                <w:lang w:val="fr-FR"/>
              </w:rPr>
              <w:t xml:space="preserve">un espace suffisant pour contenir </w:t>
            </w:r>
            <w:r w:rsidR="002D64D7" w:rsidRPr="007751BF">
              <w:rPr>
                <w:sz w:val="20"/>
                <w:szCs w:val="20"/>
                <w:lang w:val="fr-FR"/>
              </w:rPr>
              <w:t>les vivres</w:t>
            </w:r>
            <w:r w:rsidRPr="007751BF">
              <w:rPr>
                <w:sz w:val="20"/>
                <w:szCs w:val="20"/>
                <w:lang w:val="fr-FR"/>
              </w:rPr>
              <w:t xml:space="preserve"> à distribuer, une zone partitionnée pour la distribution et un espace d'attente pour les récipiendaires)</w:t>
            </w:r>
          </w:p>
        </w:tc>
      </w:tr>
      <w:tr w:rsidR="00653A35" w:rsidRPr="00C83072" w:rsidTr="00A22A7C">
        <w:tc>
          <w:tcPr>
            <w:tcW w:w="648" w:type="dxa"/>
          </w:tcPr>
          <w:p w:rsidR="00653A35" w:rsidRPr="00B2350D" w:rsidRDefault="00653A35" w:rsidP="009D6B40">
            <w:pPr>
              <w:spacing w:after="0"/>
              <w:rPr>
                <w:sz w:val="28"/>
                <w:szCs w:val="28"/>
                <w:lang w:val="fr-FR"/>
              </w:rPr>
            </w:pPr>
            <w:r w:rsidRPr="00B2350D">
              <w:rPr>
                <w:sz w:val="28"/>
                <w:szCs w:val="28"/>
                <w:lang w:val="fr-FR"/>
              </w:rPr>
              <w:sym w:font="Webdings" w:char="F063"/>
            </w:r>
          </w:p>
        </w:tc>
        <w:tc>
          <w:tcPr>
            <w:tcW w:w="8595" w:type="dxa"/>
          </w:tcPr>
          <w:p w:rsidR="00653A35" w:rsidRPr="007751BF" w:rsidRDefault="00D91731" w:rsidP="00D11EAB">
            <w:pPr>
              <w:spacing w:before="80" w:after="60"/>
              <w:rPr>
                <w:rFonts w:eastAsia="Times New Roman" w:cs="Calibri"/>
                <w:sz w:val="20"/>
                <w:szCs w:val="20"/>
                <w:lang w:val="fr-FR"/>
              </w:rPr>
            </w:pPr>
            <w:r w:rsidRPr="007751BF">
              <w:rPr>
                <w:rFonts w:eastAsia="Times New Roman" w:cs="Calibri"/>
                <w:sz w:val="20"/>
                <w:szCs w:val="20"/>
                <w:lang w:val="fr-FR"/>
              </w:rPr>
              <w:t>Fréquence de distribution (intervalle de temps entre les distributions - par exemple, hebdomadaire, bimensuelle ou mensuelle</w:t>
            </w:r>
            <w:r w:rsidR="00653A35" w:rsidRPr="007751BF">
              <w:rPr>
                <w:rFonts w:eastAsia="Times New Roman" w:cs="Calibri"/>
                <w:sz w:val="20"/>
                <w:szCs w:val="20"/>
                <w:lang w:val="fr-FR"/>
              </w:rPr>
              <w:t>)</w:t>
            </w:r>
          </w:p>
          <w:p w:rsidR="007E6F4A" w:rsidRPr="007751BF" w:rsidRDefault="007E6F4A" w:rsidP="007E6F4A">
            <w:pPr>
              <w:pStyle w:val="ListParagraph"/>
              <w:numPr>
                <w:ilvl w:val="0"/>
                <w:numId w:val="32"/>
              </w:numPr>
              <w:autoSpaceDE w:val="0"/>
              <w:autoSpaceDN w:val="0"/>
              <w:adjustRightInd w:val="0"/>
              <w:spacing w:before="60" w:after="60" w:line="252" w:lineRule="auto"/>
              <w:rPr>
                <w:rFonts w:eastAsia="Times New Roman" w:cs="Calibri"/>
                <w:sz w:val="20"/>
                <w:szCs w:val="20"/>
                <w:lang w:val="fr-FR"/>
              </w:rPr>
            </w:pPr>
            <w:r w:rsidRPr="007751BF">
              <w:rPr>
                <w:rFonts w:eastAsia="Times New Roman" w:cs="Calibri"/>
                <w:sz w:val="20"/>
                <w:szCs w:val="20"/>
                <w:lang w:val="fr-FR"/>
              </w:rPr>
              <w:t>Les distributions les plus fréquentes (par exemple, hebdomadaires ou bihebdomadaires) nécessitent davantage de personnel de supervision, et les récipiendaires passent plus de temps (jours) à collecter les vivres.</w:t>
            </w:r>
          </w:p>
          <w:p w:rsidR="00653A35" w:rsidRPr="007751BF" w:rsidRDefault="007E6F4A" w:rsidP="00B2350D">
            <w:pPr>
              <w:pStyle w:val="ListParagraph"/>
              <w:numPr>
                <w:ilvl w:val="0"/>
                <w:numId w:val="32"/>
              </w:numPr>
              <w:autoSpaceDE w:val="0"/>
              <w:autoSpaceDN w:val="0"/>
              <w:adjustRightInd w:val="0"/>
              <w:spacing w:before="60" w:after="60" w:line="252" w:lineRule="auto"/>
              <w:rPr>
                <w:rFonts w:eastAsia="Times New Roman" w:cs="Calibri"/>
                <w:sz w:val="20"/>
                <w:szCs w:val="20"/>
                <w:lang w:val="fr-FR"/>
              </w:rPr>
            </w:pPr>
            <w:r w:rsidRPr="007751BF">
              <w:rPr>
                <w:rFonts w:eastAsia="Times New Roman" w:cs="Calibri"/>
                <w:sz w:val="20"/>
                <w:szCs w:val="20"/>
                <w:lang w:val="fr-FR"/>
              </w:rPr>
              <w:t>Quant aux distributions moins fréquentes (par exemple, mensuelles), de plus grandes quantités sont distribuées, ce qui peut dépasser la capacité de transport des récipiendaires, créer des problèmes de stockage à domicile et augmenter le risque de ventes ou de vols des vivres par rapport aux récipiendaires.</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 xml:space="preserve">La disponibilité de l'eau potable, de l'assainissement et de l'ombre pour les </w:t>
            </w:r>
            <w:r w:rsidR="00B2350D" w:rsidRPr="007751BF">
              <w:rPr>
                <w:sz w:val="20"/>
                <w:szCs w:val="20"/>
                <w:lang w:val="fr-FR"/>
              </w:rPr>
              <w:t>récipiendaires</w:t>
            </w:r>
            <w:r w:rsidRPr="007751BF">
              <w:rPr>
                <w:sz w:val="20"/>
                <w:szCs w:val="20"/>
                <w:lang w:val="fr-FR"/>
              </w:rPr>
              <w:t xml:space="preserve"> et le personnel</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 xml:space="preserve">Le contrôle de la foule (éviter les sites trop proches des marchés / bazars, de la gare ou d'autres zones </w:t>
            </w:r>
            <w:r w:rsidR="00B2350D" w:rsidRPr="007751BF">
              <w:rPr>
                <w:sz w:val="20"/>
                <w:szCs w:val="20"/>
                <w:lang w:val="fr-FR"/>
              </w:rPr>
              <w:t>côtoyées</w:t>
            </w:r>
            <w:r w:rsidRPr="007751BF">
              <w:rPr>
                <w:sz w:val="20"/>
                <w:szCs w:val="20"/>
                <w:lang w:val="fr-FR"/>
              </w:rPr>
              <w:t xml:space="preserve"> par les foules)</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La sécurité personnelle (éviter les endroits à risque, par exemple directement sur une route fréquentée ou sur les abords d'une rivière ou d'un lac)</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La sécurité (essayez de sélectionner les sites communaux, entourés d'une clôture, avec des issues de secours)</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rPr>
                <w:sz w:val="20"/>
                <w:szCs w:val="20"/>
                <w:lang w:val="fr-FR"/>
              </w:rPr>
            </w:pPr>
            <w:r w:rsidRPr="007751BF">
              <w:rPr>
                <w:sz w:val="20"/>
                <w:szCs w:val="20"/>
                <w:lang w:val="fr-FR"/>
              </w:rPr>
              <w:t>La conformité à la politique environnementale de l'USAID</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L'approbation par la direction du projet (pour réduire l'utilisation abusive potentielle des vivres, l'ajout ou la suppression d'un site de distribution devrait être approuvé par la direction du programme)</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rPr>
                <w:sz w:val="20"/>
                <w:szCs w:val="20"/>
                <w:lang w:val="fr-FR"/>
              </w:rPr>
            </w:pPr>
            <w:r w:rsidRPr="007751BF">
              <w:rPr>
                <w:sz w:val="20"/>
                <w:szCs w:val="20"/>
                <w:lang w:val="fr-FR"/>
              </w:rPr>
              <w:t xml:space="preserve">L'intégration </w:t>
            </w:r>
            <w:r w:rsidR="00B2350D" w:rsidRPr="007751BF">
              <w:rPr>
                <w:sz w:val="20"/>
                <w:szCs w:val="20"/>
                <w:lang w:val="fr-FR"/>
              </w:rPr>
              <w:t xml:space="preserve">à </w:t>
            </w:r>
            <w:r w:rsidRPr="007751BF">
              <w:rPr>
                <w:sz w:val="20"/>
                <w:szCs w:val="20"/>
                <w:lang w:val="fr-FR"/>
              </w:rPr>
              <w:t>d'autres activités du projet</w:t>
            </w:r>
          </w:p>
        </w:tc>
      </w:tr>
      <w:tr w:rsidR="007E6F4A" w:rsidRPr="00C83072" w:rsidTr="00A22A7C">
        <w:tc>
          <w:tcPr>
            <w:tcW w:w="648" w:type="dxa"/>
          </w:tcPr>
          <w:p w:rsidR="007E6F4A" w:rsidRPr="00B2350D" w:rsidRDefault="007E6F4A" w:rsidP="00653A35">
            <w:pPr>
              <w:spacing w:after="0"/>
              <w:rPr>
                <w:sz w:val="28"/>
                <w:szCs w:val="28"/>
                <w:lang w:val="fr-FR"/>
              </w:rPr>
            </w:pPr>
            <w:r w:rsidRPr="00B2350D">
              <w:rPr>
                <w:sz w:val="28"/>
                <w:szCs w:val="28"/>
                <w:lang w:val="fr-FR"/>
              </w:rPr>
              <w:sym w:font="Webdings" w:char="F063"/>
            </w:r>
          </w:p>
        </w:tc>
        <w:tc>
          <w:tcPr>
            <w:tcW w:w="8595" w:type="dxa"/>
          </w:tcPr>
          <w:p w:rsidR="007E6F4A" w:rsidRPr="007751BF" w:rsidRDefault="007E6F4A" w:rsidP="00D11EAB">
            <w:pPr>
              <w:spacing w:before="80" w:after="60"/>
              <w:rPr>
                <w:sz w:val="20"/>
                <w:szCs w:val="20"/>
                <w:lang w:val="fr-FR"/>
              </w:rPr>
            </w:pPr>
            <w:r w:rsidRPr="007751BF">
              <w:rPr>
                <w:sz w:val="20"/>
                <w:szCs w:val="20"/>
                <w:lang w:val="fr-FR"/>
              </w:rPr>
              <w:t>La disponibilité des infrastructures communautaires existantes, telles que les églises, les centres communautaires, les cliniques ou les postes de santé (s'assurer que les activités de distribution peuvent être coordonnées avec d'autres activités communautaires prévues sur ces sites)</w:t>
            </w:r>
          </w:p>
        </w:tc>
      </w:tr>
      <w:tr w:rsidR="00653A35" w:rsidRPr="00C83072" w:rsidTr="00A22A7C">
        <w:tc>
          <w:tcPr>
            <w:tcW w:w="648" w:type="dxa"/>
          </w:tcPr>
          <w:p w:rsidR="00653A35" w:rsidRPr="00B2350D" w:rsidRDefault="00653A35" w:rsidP="00653A35">
            <w:pPr>
              <w:spacing w:after="0"/>
              <w:rPr>
                <w:sz w:val="28"/>
                <w:szCs w:val="28"/>
                <w:lang w:val="fr-FR"/>
              </w:rPr>
            </w:pPr>
            <w:r w:rsidRPr="00B2350D">
              <w:rPr>
                <w:sz w:val="28"/>
                <w:szCs w:val="28"/>
                <w:lang w:val="fr-FR"/>
              </w:rPr>
              <w:sym w:font="Webdings" w:char="F063"/>
            </w:r>
          </w:p>
        </w:tc>
        <w:tc>
          <w:tcPr>
            <w:tcW w:w="8595" w:type="dxa"/>
          </w:tcPr>
          <w:p w:rsidR="00653A35" w:rsidRPr="007751BF" w:rsidRDefault="007E6F4A" w:rsidP="00D11EAB">
            <w:pPr>
              <w:spacing w:before="80" w:after="60"/>
              <w:rPr>
                <w:rFonts w:eastAsia="Times New Roman" w:cs="Calibri"/>
                <w:sz w:val="20"/>
                <w:szCs w:val="20"/>
                <w:lang w:val="fr-FR"/>
              </w:rPr>
            </w:pPr>
            <w:r w:rsidRPr="007751BF">
              <w:rPr>
                <w:rFonts w:eastAsia="Times New Roman" w:cs="Calibri"/>
                <w:sz w:val="20"/>
                <w:szCs w:val="20"/>
                <w:lang w:val="fr-FR"/>
              </w:rPr>
              <w:t>Stockage du site de distribution (si les vivres seront conservés sur un site)</w:t>
            </w:r>
            <w:r w:rsidR="00653A35" w:rsidRPr="007751BF">
              <w:rPr>
                <w:rFonts w:eastAsia="Times New Roman" w:cs="Calibri"/>
                <w:sz w:val="20"/>
                <w:szCs w:val="20"/>
                <w:lang w:val="fr-FR"/>
              </w:rPr>
              <w:t xml:space="preserve"> </w:t>
            </w:r>
          </w:p>
          <w:p w:rsidR="007E6F4A" w:rsidRPr="007751BF" w:rsidRDefault="007E6F4A" w:rsidP="00D11EAB">
            <w:pPr>
              <w:pStyle w:val="ListParagraph"/>
              <w:numPr>
                <w:ilvl w:val="0"/>
                <w:numId w:val="33"/>
              </w:numPr>
              <w:spacing w:before="0" w:after="60" w:line="252" w:lineRule="auto"/>
              <w:contextualSpacing w:val="0"/>
              <w:rPr>
                <w:bCs/>
                <w:sz w:val="20"/>
                <w:szCs w:val="20"/>
                <w:lang w:val="fr-FR"/>
              </w:rPr>
            </w:pPr>
            <w:r w:rsidRPr="007751BF">
              <w:rPr>
                <w:bCs/>
                <w:sz w:val="20"/>
                <w:szCs w:val="20"/>
                <w:lang w:val="fr-FR"/>
              </w:rPr>
              <w:t>La communauté et / ou le partenaire devrait être impliqué dans la sélection du site de stockage.</w:t>
            </w:r>
          </w:p>
          <w:p w:rsidR="007E6F4A" w:rsidRPr="007751BF" w:rsidRDefault="007E6F4A" w:rsidP="00D11EAB">
            <w:pPr>
              <w:pStyle w:val="ListParagraph"/>
              <w:numPr>
                <w:ilvl w:val="0"/>
                <w:numId w:val="33"/>
              </w:numPr>
              <w:spacing w:before="0" w:after="60" w:line="252" w:lineRule="auto"/>
              <w:contextualSpacing w:val="0"/>
              <w:rPr>
                <w:bCs/>
                <w:sz w:val="20"/>
                <w:szCs w:val="20"/>
                <w:lang w:val="fr-FR"/>
              </w:rPr>
            </w:pPr>
            <w:r w:rsidRPr="007751BF">
              <w:rPr>
                <w:bCs/>
                <w:sz w:val="20"/>
                <w:szCs w:val="20"/>
                <w:lang w:val="fr-FR"/>
              </w:rPr>
              <w:t>La formation des représentants de la communauté et / ou des partenaires à la comptabilité des entrepôts de base et à la gestion des vivres est généralement requise.</w:t>
            </w:r>
          </w:p>
          <w:p w:rsidR="00653A35" w:rsidRPr="007751BF" w:rsidRDefault="007E6F4A" w:rsidP="00D11EAB">
            <w:pPr>
              <w:pStyle w:val="ListParagraph"/>
              <w:numPr>
                <w:ilvl w:val="0"/>
                <w:numId w:val="33"/>
              </w:numPr>
              <w:spacing w:before="0" w:after="60" w:line="252" w:lineRule="auto"/>
              <w:contextualSpacing w:val="0"/>
              <w:rPr>
                <w:rFonts w:eastAsia="Times New Roman" w:cs="Times New Roman"/>
                <w:sz w:val="20"/>
                <w:szCs w:val="20"/>
                <w:lang w:val="fr-FR"/>
              </w:rPr>
            </w:pPr>
            <w:r w:rsidRPr="007751BF">
              <w:rPr>
                <w:bCs/>
                <w:sz w:val="20"/>
                <w:szCs w:val="20"/>
                <w:lang w:val="fr-FR"/>
              </w:rPr>
              <w:t xml:space="preserve">Un accord écrit ou un </w:t>
            </w:r>
            <w:r w:rsidR="00B2350D" w:rsidRPr="007751BF">
              <w:rPr>
                <w:bCs/>
                <w:sz w:val="20"/>
                <w:szCs w:val="20"/>
                <w:lang w:val="fr-FR"/>
              </w:rPr>
              <w:t xml:space="preserve">protocole d’accord </w:t>
            </w:r>
            <w:r w:rsidRPr="007751BF">
              <w:rPr>
                <w:bCs/>
                <w:sz w:val="20"/>
                <w:szCs w:val="20"/>
                <w:lang w:val="fr-FR"/>
              </w:rPr>
              <w:t xml:space="preserve">doit être signé avec les personnes impliquées dans la gestion de l'installation de stockage. </w:t>
            </w:r>
            <w:r w:rsidR="00B2350D" w:rsidRPr="007751BF">
              <w:rPr>
                <w:bCs/>
                <w:sz w:val="20"/>
                <w:szCs w:val="20"/>
                <w:lang w:val="fr-FR"/>
              </w:rPr>
              <w:t>Il doit</w:t>
            </w:r>
            <w:r w:rsidRPr="007751BF">
              <w:rPr>
                <w:bCs/>
                <w:sz w:val="20"/>
                <w:szCs w:val="20"/>
                <w:lang w:val="fr-FR"/>
              </w:rPr>
              <w:t xml:space="preserve"> </w:t>
            </w:r>
            <w:r w:rsidR="00B2350D" w:rsidRPr="007751BF">
              <w:rPr>
                <w:bCs/>
                <w:sz w:val="20"/>
                <w:szCs w:val="20"/>
                <w:lang w:val="fr-FR"/>
              </w:rPr>
              <w:t>inclure</w:t>
            </w:r>
            <w:r w:rsidR="00B2350D" w:rsidRPr="007751BF">
              <w:rPr>
                <w:rFonts w:eastAsia="Times New Roman" w:cs="Times New Roman"/>
                <w:sz w:val="20"/>
                <w:szCs w:val="20"/>
                <w:lang w:val="fr-FR"/>
              </w:rPr>
              <w:t xml:space="preserve"> :</w:t>
            </w:r>
          </w:p>
          <w:p w:rsidR="006D4143" w:rsidRPr="007751BF" w:rsidRDefault="00B2350D" w:rsidP="00D11EAB">
            <w:pPr>
              <w:numPr>
                <w:ilvl w:val="0"/>
                <w:numId w:val="38"/>
              </w:numPr>
              <w:spacing w:before="0" w:after="0" w:line="252" w:lineRule="auto"/>
              <w:rPr>
                <w:rFonts w:eastAsia="Times New Roman" w:cs="Times New Roman"/>
                <w:sz w:val="20"/>
                <w:szCs w:val="20"/>
                <w:lang w:val="fr-FR"/>
              </w:rPr>
            </w:pPr>
            <w:r w:rsidRPr="007751BF">
              <w:rPr>
                <w:rFonts w:eastAsia="Times New Roman" w:cs="Times New Roman"/>
                <w:sz w:val="20"/>
                <w:szCs w:val="20"/>
                <w:lang w:val="fr-FR"/>
              </w:rPr>
              <w:t>Des précisions</w:t>
            </w:r>
            <w:r w:rsidR="006D4143" w:rsidRPr="007751BF">
              <w:rPr>
                <w:rFonts w:eastAsia="Times New Roman" w:cs="Times New Roman"/>
                <w:sz w:val="20"/>
                <w:szCs w:val="20"/>
                <w:lang w:val="fr-FR"/>
              </w:rPr>
              <w:t xml:space="preserve"> sur les rôles et les responsabilités de toutes les parties concernées</w:t>
            </w:r>
          </w:p>
          <w:p w:rsidR="006D4143" w:rsidRPr="007751BF" w:rsidRDefault="006D4143" w:rsidP="00D11EAB">
            <w:pPr>
              <w:numPr>
                <w:ilvl w:val="0"/>
                <w:numId w:val="38"/>
              </w:numPr>
              <w:spacing w:before="0" w:after="0" w:line="252" w:lineRule="auto"/>
              <w:rPr>
                <w:rFonts w:eastAsia="Times New Roman" w:cs="Times New Roman"/>
                <w:sz w:val="20"/>
                <w:szCs w:val="20"/>
                <w:lang w:val="fr-FR"/>
              </w:rPr>
            </w:pPr>
            <w:r w:rsidRPr="007751BF">
              <w:rPr>
                <w:rFonts w:eastAsia="Times New Roman" w:cs="Times New Roman"/>
                <w:sz w:val="20"/>
                <w:szCs w:val="20"/>
                <w:lang w:val="fr-FR"/>
              </w:rPr>
              <w:t>Noms des personnes autorisées à signer pour la réception des vivres</w:t>
            </w:r>
          </w:p>
          <w:p w:rsidR="006D4143" w:rsidRPr="007751BF" w:rsidRDefault="006D4143" w:rsidP="00D11EAB">
            <w:pPr>
              <w:numPr>
                <w:ilvl w:val="0"/>
                <w:numId w:val="38"/>
              </w:numPr>
              <w:spacing w:before="0" w:after="0" w:line="252" w:lineRule="auto"/>
              <w:rPr>
                <w:rFonts w:eastAsia="Times New Roman" w:cs="Times New Roman"/>
                <w:sz w:val="20"/>
                <w:szCs w:val="20"/>
                <w:lang w:val="fr-FR"/>
              </w:rPr>
            </w:pPr>
            <w:r w:rsidRPr="007751BF">
              <w:rPr>
                <w:rFonts w:eastAsia="Times New Roman" w:cs="Times New Roman"/>
                <w:sz w:val="20"/>
                <w:szCs w:val="20"/>
                <w:lang w:val="fr-FR"/>
              </w:rPr>
              <w:t>Procédures standard pour la réception, le stockage, la manutention et la comptabilité de tous les vivres stockés</w:t>
            </w:r>
          </w:p>
          <w:p w:rsidR="00653A35" w:rsidRPr="007751BF" w:rsidRDefault="006D4143" w:rsidP="00D11EAB">
            <w:pPr>
              <w:numPr>
                <w:ilvl w:val="0"/>
                <w:numId w:val="38"/>
              </w:numPr>
              <w:spacing w:before="0" w:after="0" w:line="252" w:lineRule="auto"/>
              <w:rPr>
                <w:rFonts w:eastAsia="Times New Roman" w:cs="Times New Roman"/>
                <w:sz w:val="20"/>
                <w:szCs w:val="20"/>
                <w:lang w:val="fr-FR"/>
              </w:rPr>
            </w:pPr>
            <w:r w:rsidRPr="007751BF">
              <w:rPr>
                <w:rFonts w:eastAsia="Times New Roman" w:cs="Times New Roman"/>
                <w:sz w:val="20"/>
                <w:szCs w:val="20"/>
                <w:lang w:val="fr-FR"/>
              </w:rPr>
              <w:t>Noms des personnes autorisées à détenir les clés du stockage</w:t>
            </w:r>
          </w:p>
        </w:tc>
      </w:tr>
    </w:tbl>
    <w:p w:rsidR="00E24F77" w:rsidRPr="00B2350D" w:rsidRDefault="00E24F77">
      <w:pPr>
        <w:rPr>
          <w:lang w:val="fr-FR"/>
        </w:rPr>
      </w:pPr>
    </w:p>
    <w:sectPr w:rsidR="00E24F77" w:rsidRPr="00B2350D" w:rsidSect="005E432F">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47" w:rsidRDefault="00AD2A47" w:rsidP="003E4F5E">
      <w:pPr>
        <w:spacing w:before="0" w:after="0"/>
      </w:pPr>
      <w:r>
        <w:separator/>
      </w:r>
    </w:p>
  </w:endnote>
  <w:endnote w:type="continuationSeparator" w:id="0">
    <w:p w:rsidR="00AD2A47" w:rsidRDefault="00AD2A47" w:rsidP="003E4F5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736"/>
      <w:docPartObj>
        <w:docPartGallery w:val="Page Numbers (Bottom of Page)"/>
        <w:docPartUnique/>
      </w:docPartObj>
    </w:sdtPr>
    <w:sdtContent>
      <w:sdt>
        <w:sdtPr>
          <w:id w:val="565050477"/>
          <w:docPartObj>
            <w:docPartGallery w:val="Page Numbers (Top of Page)"/>
            <w:docPartUnique/>
          </w:docPartObj>
        </w:sdtPr>
        <w:sdtContent>
          <w:p w:rsidR="00310FA1" w:rsidRPr="009667D5" w:rsidRDefault="00310FA1">
            <w:pPr>
              <w:pStyle w:val="Footer"/>
              <w:jc w:val="center"/>
            </w:pPr>
            <w:r w:rsidRPr="009667D5">
              <w:t xml:space="preserve">Page </w:t>
            </w:r>
            <w:r w:rsidR="00A438DF" w:rsidRPr="009667D5">
              <w:fldChar w:fldCharType="begin"/>
            </w:r>
            <w:r w:rsidRPr="009667D5">
              <w:instrText xml:space="preserve"> PAGE </w:instrText>
            </w:r>
            <w:r w:rsidR="00A438DF" w:rsidRPr="009667D5">
              <w:fldChar w:fldCharType="separate"/>
            </w:r>
            <w:r w:rsidR="00D11EAB">
              <w:rPr>
                <w:noProof/>
              </w:rPr>
              <w:t>2</w:t>
            </w:r>
            <w:r w:rsidR="00A438DF" w:rsidRPr="009667D5">
              <w:fldChar w:fldCharType="end"/>
            </w:r>
            <w:r w:rsidRPr="009667D5">
              <w:t xml:space="preserve"> </w:t>
            </w:r>
            <w:r w:rsidR="00B2350D">
              <w:t>/</w:t>
            </w:r>
            <w:r w:rsidR="00A438DF" w:rsidRPr="009667D5">
              <w:fldChar w:fldCharType="begin"/>
            </w:r>
            <w:r w:rsidRPr="009667D5">
              <w:instrText xml:space="preserve"> NUMPAGES  </w:instrText>
            </w:r>
            <w:r w:rsidR="00A438DF" w:rsidRPr="009667D5">
              <w:fldChar w:fldCharType="separate"/>
            </w:r>
            <w:r w:rsidR="00D11EAB">
              <w:rPr>
                <w:noProof/>
              </w:rPr>
              <w:t>2</w:t>
            </w:r>
            <w:r w:rsidR="00A438DF" w:rsidRPr="009667D5">
              <w:fldChar w:fldCharType="end"/>
            </w:r>
          </w:p>
        </w:sdtContent>
      </w:sdt>
    </w:sdtContent>
  </w:sdt>
  <w:p w:rsidR="00310FA1" w:rsidRDefault="00310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47" w:rsidRDefault="00AD2A47" w:rsidP="003E4F5E">
      <w:pPr>
        <w:spacing w:before="0" w:after="0"/>
      </w:pPr>
      <w:r>
        <w:separator/>
      </w:r>
    </w:p>
  </w:footnote>
  <w:footnote w:type="continuationSeparator" w:id="0">
    <w:p w:rsidR="00AD2A47" w:rsidRDefault="00AD2A47" w:rsidP="003E4F5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A1" w:rsidRPr="00DB39F2" w:rsidRDefault="00DB39F2" w:rsidP="003E4F5E">
    <w:pPr>
      <w:pStyle w:val="Header"/>
      <w:jc w:val="center"/>
      <w:rPr>
        <w:rFonts w:ascii="Times New Roman" w:eastAsia="Times New Roman" w:hAnsi="Times New Roman"/>
        <w:sz w:val="24"/>
        <w:szCs w:val="24"/>
        <w:lang w:val="fr-FR"/>
      </w:rPr>
    </w:pPr>
    <w:r>
      <w:rPr>
        <w:rFonts w:eastAsia="Times New Roman"/>
        <w:b/>
        <w:bCs/>
        <w:color w:val="237990"/>
        <w:sz w:val="28"/>
        <w:szCs w:val="28"/>
        <w:lang w:val="fr-FR"/>
      </w:rPr>
      <w:t>DIRECTIVES sur l’identification du site de distribution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804"/>
    <w:multiLevelType w:val="hybridMultilevel"/>
    <w:tmpl w:val="EC505D00"/>
    <w:lvl w:ilvl="0" w:tplc="1408BDFA">
      <w:start w:val="1"/>
      <w:numFmt w:val="bullet"/>
      <w:lvlText w:val=""/>
      <w:lvlJc w:val="left"/>
      <w:pPr>
        <w:tabs>
          <w:tab w:val="num" w:pos="360"/>
        </w:tabs>
        <w:ind w:left="360" w:hanging="360"/>
      </w:pPr>
      <w:rPr>
        <w:rFonts w:ascii="Wingdings" w:hAnsi="Wingdings" w:hint="default"/>
        <w:b w:val="0"/>
        <w:i w:val="0"/>
        <w:color w:val="9933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6F3901"/>
    <w:multiLevelType w:val="hybridMultilevel"/>
    <w:tmpl w:val="1D164730"/>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97832"/>
    <w:multiLevelType w:val="hybridMultilevel"/>
    <w:tmpl w:val="5EE8569E"/>
    <w:lvl w:ilvl="0" w:tplc="68C82BDE">
      <w:start w:val="1"/>
      <w:numFmt w:val="decimal"/>
      <w:lvlText w:val="%1."/>
      <w:lvlJc w:val="left"/>
      <w:pPr>
        <w:ind w:left="720" w:hanging="360"/>
      </w:pPr>
      <w:rPr>
        <w:rFonts w:ascii="Times New Roman" w:hAnsi="Times New Roman"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92D14"/>
    <w:multiLevelType w:val="hybridMultilevel"/>
    <w:tmpl w:val="0B0ABC7E"/>
    <w:lvl w:ilvl="0" w:tplc="53BCE052">
      <w:start w:val="1"/>
      <w:numFmt w:val="bullet"/>
      <w:lvlText w:val=""/>
      <w:lvlJc w:val="left"/>
      <w:pPr>
        <w:ind w:left="1080" w:hanging="360"/>
      </w:pPr>
      <w:rPr>
        <w:rFonts w:ascii="Symbol" w:hAnsi="Symbol" w:hint="default"/>
      </w:rPr>
    </w:lvl>
    <w:lvl w:ilvl="1" w:tplc="92EE3A2C">
      <w:start w:val="1"/>
      <w:numFmt w:val="bullet"/>
      <w:lvlText w:val=""/>
      <w:lvlJc w:val="left"/>
      <w:pPr>
        <w:tabs>
          <w:tab w:val="num" w:pos="648"/>
        </w:tabs>
        <w:ind w:left="648" w:hanging="288"/>
      </w:pPr>
      <w:rPr>
        <w:rFonts w:ascii="Times New Roman" w:hAnsi="Times New Roman" w:cs="Times New Roman" w:hint="default"/>
        <w:b w:val="0"/>
        <w:i w:val="0"/>
        <w:color w:val="auto"/>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9A7EDA"/>
    <w:multiLevelType w:val="hybridMultilevel"/>
    <w:tmpl w:val="9D46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D1C2D"/>
    <w:multiLevelType w:val="hybridMultilevel"/>
    <w:tmpl w:val="47F25C78"/>
    <w:lvl w:ilvl="0" w:tplc="3DB80F24">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E385B"/>
    <w:multiLevelType w:val="hybridMultilevel"/>
    <w:tmpl w:val="2B92E62C"/>
    <w:lvl w:ilvl="0" w:tplc="1D6627F6">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6BC3"/>
    <w:multiLevelType w:val="hybridMultilevel"/>
    <w:tmpl w:val="E54C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F6D9B"/>
    <w:multiLevelType w:val="hybridMultilevel"/>
    <w:tmpl w:val="BF8CDD70"/>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C5754"/>
    <w:multiLevelType w:val="hybridMultilevel"/>
    <w:tmpl w:val="CE8E94CE"/>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86DAC"/>
    <w:multiLevelType w:val="hybridMultilevel"/>
    <w:tmpl w:val="645E035A"/>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7DA0CBDC">
      <w:start w:val="1"/>
      <w:numFmt w:val="bullet"/>
      <w:lvlText w:val="•"/>
      <w:lvlJc w:val="left"/>
      <w:pPr>
        <w:tabs>
          <w:tab w:val="num" w:pos="1008"/>
        </w:tabs>
        <w:ind w:left="1008" w:hanging="288"/>
      </w:pPr>
      <w:rPr>
        <w:rFonts w:ascii="Times New Roman" w:hAnsi="Times New Roman" w:cs="Times New Roman" w:hint="default"/>
        <w:b w:val="0"/>
        <w:i w:val="0"/>
        <w:color w:val="auto"/>
        <w:sz w:val="22"/>
        <w:szCs w:val="22"/>
      </w:rPr>
    </w:lvl>
    <w:lvl w:ilvl="2" w:tplc="48B6DB26">
      <w:start w:val="1"/>
      <w:numFmt w:val="bullet"/>
      <w:lvlText w:val=""/>
      <w:lvlJc w:val="left"/>
      <w:pPr>
        <w:tabs>
          <w:tab w:val="num" w:pos="1440"/>
        </w:tabs>
        <w:ind w:left="1440" w:hanging="360"/>
      </w:pPr>
      <w:rPr>
        <w:rFonts w:ascii="Wingdings" w:hAnsi="Wingdings" w:hint="default"/>
        <w:b/>
        <w:i w:val="0"/>
        <w:sz w:val="28"/>
        <w:szCs w:val="28"/>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1B12D13"/>
    <w:multiLevelType w:val="hybridMultilevel"/>
    <w:tmpl w:val="011E1322"/>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C51FA"/>
    <w:multiLevelType w:val="hybridMultilevel"/>
    <w:tmpl w:val="437C7F4C"/>
    <w:lvl w:ilvl="0" w:tplc="1D2EB576">
      <w:start w:val="1"/>
      <w:numFmt w:val="bullet"/>
      <w:lvlText w:val="○"/>
      <w:lvlJc w:val="left"/>
      <w:pPr>
        <w:ind w:left="1152" w:hanging="360"/>
      </w:pPr>
      <w:rPr>
        <w:rFonts w:ascii="Times New Roman" w:hAnsi="Times New Roman"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EB45B22"/>
    <w:multiLevelType w:val="hybridMultilevel"/>
    <w:tmpl w:val="D55CA378"/>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1D56D398">
      <w:start w:val="1"/>
      <w:numFmt w:val="bullet"/>
      <w:lvlText w:val=""/>
      <w:lvlJc w:val="left"/>
      <w:pPr>
        <w:tabs>
          <w:tab w:val="num" w:pos="1080"/>
        </w:tabs>
        <w:ind w:left="1080" w:hanging="360"/>
      </w:pPr>
      <w:rPr>
        <w:rFonts w:ascii="Wingdings" w:hAnsi="Wingdings" w:hint="default"/>
        <w:b w:val="0"/>
        <w:i w:val="0"/>
        <w:color w:val="993300"/>
        <w:sz w:val="24"/>
        <w:szCs w:val="24"/>
      </w:rPr>
    </w:lvl>
    <w:lvl w:ilvl="2" w:tplc="569ADBA8">
      <w:start w:val="1"/>
      <w:numFmt w:val="bullet"/>
      <w:lvlText w:val="-"/>
      <w:lvlJc w:val="left"/>
      <w:pPr>
        <w:tabs>
          <w:tab w:val="num" w:pos="1368"/>
        </w:tabs>
        <w:ind w:left="1368" w:hanging="288"/>
      </w:pPr>
      <w:rPr>
        <w:rFonts w:ascii="Times New Roman" w:hAnsi="Times New Roman" w:cs="Times New Roman" w:hint="default"/>
        <w:b/>
        <w:i w:val="0"/>
        <w:color w:val="auto"/>
        <w:sz w:val="28"/>
        <w:szCs w:val="28"/>
      </w:rPr>
    </w:lvl>
    <w:lvl w:ilvl="3" w:tplc="68C82BDE">
      <w:start w:val="1"/>
      <w:numFmt w:val="decimal"/>
      <w:lvlText w:val="%4."/>
      <w:lvlJc w:val="left"/>
      <w:pPr>
        <w:tabs>
          <w:tab w:val="num" w:pos="2520"/>
        </w:tabs>
        <w:ind w:left="2520" w:hanging="360"/>
      </w:pPr>
      <w:rPr>
        <w:rFonts w:ascii="Times New Roman" w:hAnsi="Times New Roman" w:hint="default"/>
        <w:b/>
        <w:i w:val="0"/>
        <w:sz w:val="28"/>
        <w:szCs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1AF32EC"/>
    <w:multiLevelType w:val="hybridMultilevel"/>
    <w:tmpl w:val="649C0DD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E036E0"/>
    <w:multiLevelType w:val="hybridMultilevel"/>
    <w:tmpl w:val="D9121B84"/>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1D56D398">
      <w:start w:val="1"/>
      <w:numFmt w:val="bullet"/>
      <w:lvlText w:val=""/>
      <w:lvlJc w:val="left"/>
      <w:pPr>
        <w:tabs>
          <w:tab w:val="num" w:pos="1080"/>
        </w:tabs>
        <w:ind w:left="1080" w:hanging="360"/>
      </w:pPr>
      <w:rPr>
        <w:rFonts w:ascii="Wingdings" w:hAnsi="Wingdings" w:hint="default"/>
        <w:b w:val="0"/>
        <w:i w:val="0"/>
        <w:color w:val="993300"/>
        <w:sz w:val="24"/>
        <w:szCs w:val="24"/>
      </w:rPr>
    </w:lvl>
    <w:lvl w:ilvl="2" w:tplc="F7066DA6">
      <w:start w:val="1"/>
      <w:numFmt w:val="bullet"/>
      <w:lvlText w:val=""/>
      <w:lvlJc w:val="left"/>
      <w:pPr>
        <w:tabs>
          <w:tab w:val="num" w:pos="1368"/>
        </w:tabs>
        <w:ind w:left="1368" w:hanging="288"/>
      </w:pPr>
      <w:rPr>
        <w:rFonts w:ascii="Wingdings" w:hAnsi="Wingdings" w:hint="default"/>
        <w:b/>
        <w:i w:val="0"/>
        <w:color w:val="auto"/>
        <w:sz w:val="28"/>
        <w:szCs w:val="28"/>
      </w:rPr>
    </w:lvl>
    <w:lvl w:ilvl="3" w:tplc="68C82BDE">
      <w:start w:val="1"/>
      <w:numFmt w:val="decimal"/>
      <w:lvlText w:val="%4."/>
      <w:lvlJc w:val="left"/>
      <w:pPr>
        <w:tabs>
          <w:tab w:val="num" w:pos="2520"/>
        </w:tabs>
        <w:ind w:left="2520" w:hanging="360"/>
      </w:pPr>
      <w:rPr>
        <w:rFonts w:ascii="Times New Roman" w:hAnsi="Times New Roman" w:hint="default"/>
        <w:b/>
        <w:i w:val="0"/>
        <w:sz w:val="28"/>
        <w:szCs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B060B29"/>
    <w:multiLevelType w:val="hybridMultilevel"/>
    <w:tmpl w:val="C75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E492B"/>
    <w:multiLevelType w:val="hybridMultilevel"/>
    <w:tmpl w:val="9C82C218"/>
    <w:lvl w:ilvl="0" w:tplc="1D6627F6">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76A0"/>
    <w:multiLevelType w:val="hybridMultilevel"/>
    <w:tmpl w:val="3E6E91F0"/>
    <w:lvl w:ilvl="0" w:tplc="04090003">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0FE180D"/>
    <w:multiLevelType w:val="hybridMultilevel"/>
    <w:tmpl w:val="C36CBF7A"/>
    <w:lvl w:ilvl="0" w:tplc="7AA8E652">
      <w:start w:val="1"/>
      <w:numFmt w:val="bullet"/>
      <w:lvlText w:val=""/>
      <w:lvlJc w:val="left"/>
      <w:pPr>
        <w:tabs>
          <w:tab w:val="num" w:pos="1008"/>
        </w:tabs>
        <w:ind w:left="1008" w:hanging="288"/>
      </w:pPr>
      <w:rPr>
        <w:rFonts w:ascii="Times New Roman" w:hAnsi="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4F25AF"/>
    <w:multiLevelType w:val="hybridMultilevel"/>
    <w:tmpl w:val="E44E1D7A"/>
    <w:lvl w:ilvl="0" w:tplc="B2586E54">
      <w:start w:val="1"/>
      <w:numFmt w:val="bullet"/>
      <w:lvlText w:val="•"/>
      <w:lvlJc w:val="left"/>
      <w:pPr>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716C4"/>
    <w:multiLevelType w:val="hybridMultilevel"/>
    <w:tmpl w:val="0490802C"/>
    <w:lvl w:ilvl="0" w:tplc="1D6627F6">
      <w:start w:val="1"/>
      <w:numFmt w:val="bullet"/>
      <w:lvlText w:val="·"/>
      <w:lvlJc w:val="left"/>
      <w:pPr>
        <w:ind w:left="1296" w:hanging="360"/>
      </w:pPr>
      <w:rPr>
        <w:rFonts w:ascii="Times New Roman" w:hAnsi="Times New Roman" w:hint="default"/>
        <w:color w:val="auto"/>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45366210"/>
    <w:multiLevelType w:val="hybridMultilevel"/>
    <w:tmpl w:val="852EB710"/>
    <w:lvl w:ilvl="0" w:tplc="53BCE052">
      <w:start w:val="1"/>
      <w:numFmt w:val="bullet"/>
      <w:lvlText w:val=""/>
      <w:lvlJc w:val="left"/>
      <w:pPr>
        <w:ind w:left="1080" w:hanging="360"/>
      </w:pPr>
      <w:rPr>
        <w:rFonts w:ascii="Symbol" w:hAnsi="Symbol" w:hint="default"/>
      </w:rPr>
    </w:lvl>
    <w:lvl w:ilvl="1" w:tplc="92EE3A2C">
      <w:start w:val="1"/>
      <w:numFmt w:val="bullet"/>
      <w:lvlText w:val=""/>
      <w:lvlJc w:val="left"/>
      <w:pPr>
        <w:tabs>
          <w:tab w:val="num" w:pos="648"/>
        </w:tabs>
        <w:ind w:left="648" w:hanging="288"/>
      </w:pPr>
      <w:rPr>
        <w:rFonts w:ascii="Times New Roman" w:hAnsi="Times New Roman" w:cs="Times New Roman" w:hint="default"/>
        <w:b w:val="0"/>
        <w:i w:val="0"/>
        <w:color w:val="auto"/>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E84EC3"/>
    <w:multiLevelType w:val="hybridMultilevel"/>
    <w:tmpl w:val="8300F6C6"/>
    <w:lvl w:ilvl="0" w:tplc="2412167A">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AA5C86"/>
    <w:multiLevelType w:val="hybridMultilevel"/>
    <w:tmpl w:val="8708A1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50D54D32"/>
    <w:multiLevelType w:val="hybridMultilevel"/>
    <w:tmpl w:val="77322C60"/>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1D56D398">
      <w:start w:val="1"/>
      <w:numFmt w:val="bullet"/>
      <w:lvlText w:val=""/>
      <w:lvlJc w:val="left"/>
      <w:pPr>
        <w:tabs>
          <w:tab w:val="num" w:pos="1080"/>
        </w:tabs>
        <w:ind w:left="1080" w:hanging="360"/>
      </w:pPr>
      <w:rPr>
        <w:rFonts w:ascii="Wingdings" w:hAnsi="Wingdings" w:hint="default"/>
        <w:b w:val="0"/>
        <w:i w:val="0"/>
        <w:color w:val="993300"/>
        <w:sz w:val="24"/>
        <w:szCs w:val="24"/>
      </w:rPr>
    </w:lvl>
    <w:lvl w:ilvl="2" w:tplc="57EC91C6">
      <w:start w:val="1"/>
      <w:numFmt w:val="bullet"/>
      <w:lvlText w:val=""/>
      <w:lvlJc w:val="left"/>
      <w:pPr>
        <w:tabs>
          <w:tab w:val="num" w:pos="1368"/>
        </w:tabs>
        <w:ind w:left="1368" w:hanging="288"/>
      </w:pPr>
      <w:rPr>
        <w:rFonts w:ascii="Symbol" w:hAnsi="Symbol" w:hint="default"/>
        <w:b/>
        <w:i w:val="0"/>
        <w:color w:val="auto"/>
        <w:sz w:val="28"/>
        <w:szCs w:val="28"/>
      </w:rPr>
    </w:lvl>
    <w:lvl w:ilvl="3" w:tplc="68C82BDE">
      <w:start w:val="1"/>
      <w:numFmt w:val="decimal"/>
      <w:lvlText w:val="%4."/>
      <w:lvlJc w:val="left"/>
      <w:pPr>
        <w:tabs>
          <w:tab w:val="num" w:pos="2520"/>
        </w:tabs>
        <w:ind w:left="2520" w:hanging="360"/>
      </w:pPr>
      <w:rPr>
        <w:rFonts w:ascii="Times New Roman" w:hAnsi="Times New Roman" w:hint="default"/>
        <w:b/>
        <w:i w:val="0"/>
        <w:sz w:val="28"/>
        <w:szCs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1876FE2"/>
    <w:multiLevelType w:val="hybridMultilevel"/>
    <w:tmpl w:val="050AAF5A"/>
    <w:lvl w:ilvl="0" w:tplc="F7066D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0F37E6"/>
    <w:multiLevelType w:val="hybridMultilevel"/>
    <w:tmpl w:val="E886F3D8"/>
    <w:lvl w:ilvl="0" w:tplc="270C671A">
      <w:start w:val="1"/>
      <w:numFmt w:val="bullet"/>
      <w:lvlText w:val="•"/>
      <w:lvlJc w:val="left"/>
      <w:pPr>
        <w:tabs>
          <w:tab w:val="num" w:pos="1008"/>
        </w:tabs>
        <w:ind w:left="1008" w:hanging="288"/>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1953A2"/>
    <w:multiLevelType w:val="hybridMultilevel"/>
    <w:tmpl w:val="441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D235EE"/>
    <w:multiLevelType w:val="hybridMultilevel"/>
    <w:tmpl w:val="2F4A9BD0"/>
    <w:lvl w:ilvl="0" w:tplc="35429926">
      <w:start w:val="1"/>
      <w:numFmt w:val="bullet"/>
      <w:lvlText w:val=""/>
      <w:lvlJc w:val="left"/>
      <w:pPr>
        <w:tabs>
          <w:tab w:val="num" w:pos="360"/>
        </w:tabs>
        <w:ind w:left="360" w:hanging="360"/>
      </w:pPr>
      <w:rPr>
        <w:rFonts w:ascii="Wingdings" w:hAnsi="Wingdings" w:hint="default"/>
        <w:color w:val="993300"/>
        <w:sz w:val="28"/>
        <w:szCs w:val="28"/>
      </w:rPr>
    </w:lvl>
    <w:lvl w:ilvl="1" w:tplc="D47AD98E">
      <w:start w:val="1"/>
      <w:numFmt w:val="bullet"/>
      <w:lvlText w:val=""/>
      <w:lvlJc w:val="left"/>
      <w:pPr>
        <w:tabs>
          <w:tab w:val="num" w:pos="1440"/>
        </w:tabs>
        <w:ind w:left="1440" w:hanging="360"/>
      </w:pPr>
      <w:rPr>
        <w:rFonts w:ascii="Wingdings" w:hAnsi="Wingdings" w:hint="default"/>
        <w:b w:val="0"/>
        <w:i w:val="0"/>
        <w:color w:val="99330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21781E"/>
    <w:multiLevelType w:val="hybridMultilevel"/>
    <w:tmpl w:val="D694A446"/>
    <w:lvl w:ilvl="0" w:tplc="53BCE05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3B0324"/>
    <w:multiLevelType w:val="hybridMultilevel"/>
    <w:tmpl w:val="7564E486"/>
    <w:lvl w:ilvl="0" w:tplc="DEB08116">
      <w:start w:val="1"/>
      <w:numFmt w:val="bullet"/>
      <w:lvlText w:val="•"/>
      <w:lvlJc w:val="left"/>
      <w:pPr>
        <w:tabs>
          <w:tab w:val="num" w:pos="1008"/>
        </w:tabs>
        <w:ind w:left="1008" w:hanging="288"/>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2FF2C1C"/>
    <w:multiLevelType w:val="hybridMultilevel"/>
    <w:tmpl w:val="BE788E96"/>
    <w:lvl w:ilvl="0" w:tplc="1D6627F6">
      <w:start w:val="1"/>
      <w:numFmt w:val="bullet"/>
      <w:lvlText w:val="·"/>
      <w:lvlJc w:val="left"/>
      <w:pPr>
        <w:tabs>
          <w:tab w:val="num" w:pos="1080"/>
        </w:tabs>
        <w:ind w:left="1080" w:hanging="360"/>
      </w:pPr>
      <w:rPr>
        <w:rFonts w:ascii="Times New Roman" w:hAnsi="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113163"/>
    <w:multiLevelType w:val="hybridMultilevel"/>
    <w:tmpl w:val="CBFC3666"/>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1D56D398">
      <w:start w:val="1"/>
      <w:numFmt w:val="bullet"/>
      <w:lvlText w:val=""/>
      <w:lvlJc w:val="left"/>
      <w:pPr>
        <w:tabs>
          <w:tab w:val="num" w:pos="1080"/>
        </w:tabs>
        <w:ind w:left="1080" w:hanging="360"/>
      </w:pPr>
      <w:rPr>
        <w:rFonts w:ascii="Wingdings" w:hAnsi="Wingdings" w:hint="default"/>
        <w:b w:val="0"/>
        <w:i w:val="0"/>
        <w:color w:val="993300"/>
        <w:sz w:val="24"/>
        <w:szCs w:val="24"/>
      </w:rPr>
    </w:lvl>
    <w:lvl w:ilvl="2" w:tplc="569ADBA8">
      <w:start w:val="1"/>
      <w:numFmt w:val="bullet"/>
      <w:lvlText w:val="-"/>
      <w:lvlJc w:val="left"/>
      <w:pPr>
        <w:tabs>
          <w:tab w:val="num" w:pos="1368"/>
        </w:tabs>
        <w:ind w:left="1368" w:hanging="288"/>
      </w:pPr>
      <w:rPr>
        <w:rFonts w:ascii="Times New Roman" w:hAnsi="Times New Roman" w:cs="Times New Roman" w:hint="default"/>
        <w:b/>
        <w:i w:val="0"/>
        <w:color w:val="auto"/>
        <w:sz w:val="28"/>
        <w:szCs w:val="28"/>
      </w:rPr>
    </w:lvl>
    <w:lvl w:ilvl="3" w:tplc="68C82BDE">
      <w:start w:val="1"/>
      <w:numFmt w:val="decimal"/>
      <w:lvlText w:val="%4."/>
      <w:lvlJc w:val="left"/>
      <w:pPr>
        <w:tabs>
          <w:tab w:val="num" w:pos="2520"/>
        </w:tabs>
        <w:ind w:left="2520" w:hanging="360"/>
      </w:pPr>
      <w:rPr>
        <w:rFonts w:ascii="Times New Roman" w:hAnsi="Times New Roman" w:hint="default"/>
        <w:b/>
        <w:i w:val="0"/>
        <w:sz w:val="28"/>
        <w:szCs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BA4466C"/>
    <w:multiLevelType w:val="hybridMultilevel"/>
    <w:tmpl w:val="D26E7BDA"/>
    <w:lvl w:ilvl="0" w:tplc="1408BDFA">
      <w:start w:val="1"/>
      <w:numFmt w:val="bullet"/>
      <w:lvlText w:val=""/>
      <w:lvlJc w:val="left"/>
      <w:pPr>
        <w:tabs>
          <w:tab w:val="num" w:pos="360"/>
        </w:tabs>
        <w:ind w:left="360" w:hanging="360"/>
      </w:pPr>
      <w:rPr>
        <w:rFonts w:ascii="Wingdings" w:hAnsi="Wingdings" w:hint="default"/>
        <w:b w:val="0"/>
        <w:i w:val="0"/>
        <w:color w:val="9933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3068B0"/>
    <w:multiLevelType w:val="hybridMultilevel"/>
    <w:tmpl w:val="EA56A878"/>
    <w:lvl w:ilvl="0" w:tplc="53BCE052">
      <w:start w:val="1"/>
      <w:numFmt w:val="bullet"/>
      <w:lvlText w:val=""/>
      <w:lvlJc w:val="left"/>
      <w:pPr>
        <w:ind w:left="1080" w:hanging="360"/>
      </w:pPr>
      <w:rPr>
        <w:rFonts w:ascii="Symbol" w:hAnsi="Symbol" w:hint="default"/>
      </w:rPr>
    </w:lvl>
    <w:lvl w:ilvl="1" w:tplc="92EE3A2C">
      <w:start w:val="1"/>
      <w:numFmt w:val="bullet"/>
      <w:lvlText w:val=""/>
      <w:lvlJc w:val="left"/>
      <w:pPr>
        <w:tabs>
          <w:tab w:val="num" w:pos="648"/>
        </w:tabs>
        <w:ind w:left="648" w:hanging="288"/>
      </w:pPr>
      <w:rPr>
        <w:rFonts w:ascii="Times New Roman" w:hAnsi="Times New Roman" w:cs="Times New Roman" w:hint="default"/>
        <w:b w:val="0"/>
        <w:i w:val="0"/>
        <w:color w:val="auto"/>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512413"/>
    <w:multiLevelType w:val="hybridMultilevel"/>
    <w:tmpl w:val="606204E8"/>
    <w:lvl w:ilvl="0" w:tplc="57EC91C6">
      <w:start w:val="1"/>
      <w:numFmt w:val="bullet"/>
      <w:lvlText w:val=""/>
      <w:lvlJc w:val="left"/>
      <w:pPr>
        <w:tabs>
          <w:tab w:val="num" w:pos="720"/>
        </w:tabs>
        <w:ind w:left="720" w:hanging="360"/>
      </w:pPr>
      <w:rPr>
        <w:rFonts w:ascii="Symbol" w:hAnsi="Symbol" w:hint="default"/>
        <w:b/>
        <w:i w:val="0"/>
        <w:sz w:val="28"/>
        <w:szCs w:val="28"/>
      </w:rPr>
    </w:lvl>
    <w:lvl w:ilvl="1" w:tplc="1D56D398">
      <w:start w:val="1"/>
      <w:numFmt w:val="bullet"/>
      <w:lvlText w:val=""/>
      <w:lvlJc w:val="left"/>
      <w:pPr>
        <w:tabs>
          <w:tab w:val="num" w:pos="1440"/>
        </w:tabs>
        <w:ind w:left="1440" w:hanging="360"/>
      </w:pPr>
      <w:rPr>
        <w:rFonts w:ascii="Wingdings" w:hAnsi="Wingdings" w:hint="default"/>
        <w:b w:val="0"/>
        <w:i w:val="0"/>
        <w:color w:val="993300"/>
        <w:sz w:val="24"/>
        <w:szCs w:val="24"/>
      </w:rPr>
    </w:lvl>
    <w:lvl w:ilvl="2" w:tplc="57EC91C6">
      <w:start w:val="1"/>
      <w:numFmt w:val="bullet"/>
      <w:lvlText w:val=""/>
      <w:lvlJc w:val="left"/>
      <w:pPr>
        <w:tabs>
          <w:tab w:val="num" w:pos="1728"/>
        </w:tabs>
        <w:ind w:left="1728" w:hanging="288"/>
      </w:pPr>
      <w:rPr>
        <w:rFonts w:ascii="Symbol" w:hAnsi="Symbol" w:hint="default"/>
        <w:b/>
        <w:i w:val="0"/>
        <w:color w:val="auto"/>
        <w:sz w:val="28"/>
        <w:szCs w:val="28"/>
      </w:rPr>
    </w:lvl>
    <w:lvl w:ilvl="3" w:tplc="68C82BDE">
      <w:start w:val="1"/>
      <w:numFmt w:val="decimal"/>
      <w:lvlText w:val="%4."/>
      <w:lvlJc w:val="left"/>
      <w:pPr>
        <w:tabs>
          <w:tab w:val="num" w:pos="2880"/>
        </w:tabs>
        <w:ind w:left="2880" w:hanging="360"/>
      </w:pPr>
      <w:rPr>
        <w:rFonts w:ascii="Times New Roman" w:hAnsi="Times New Roman" w:hint="default"/>
        <w:b/>
        <w:i w:val="0"/>
        <w:sz w:val="28"/>
        <w:szCs w:val="28"/>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EF66FE4"/>
    <w:multiLevelType w:val="hybridMultilevel"/>
    <w:tmpl w:val="96E6A442"/>
    <w:lvl w:ilvl="0" w:tplc="68C82BDE">
      <w:start w:val="1"/>
      <w:numFmt w:val="decimal"/>
      <w:lvlText w:val="%1."/>
      <w:lvlJc w:val="left"/>
      <w:pPr>
        <w:tabs>
          <w:tab w:val="num" w:pos="360"/>
        </w:tabs>
        <w:ind w:left="360" w:hanging="360"/>
      </w:pPr>
      <w:rPr>
        <w:rFonts w:ascii="Times New Roman" w:hAnsi="Times New Roman" w:hint="default"/>
        <w:b/>
        <w:i w:val="0"/>
        <w:sz w:val="28"/>
        <w:szCs w:val="28"/>
      </w:rPr>
    </w:lvl>
    <w:lvl w:ilvl="1" w:tplc="1D56D398">
      <w:start w:val="1"/>
      <w:numFmt w:val="bullet"/>
      <w:lvlText w:val=""/>
      <w:lvlJc w:val="left"/>
      <w:pPr>
        <w:tabs>
          <w:tab w:val="num" w:pos="1080"/>
        </w:tabs>
        <w:ind w:left="1080" w:hanging="360"/>
      </w:pPr>
      <w:rPr>
        <w:rFonts w:ascii="Wingdings" w:hAnsi="Wingdings" w:hint="default"/>
        <w:b w:val="0"/>
        <w:i w:val="0"/>
        <w:color w:val="993300"/>
        <w:sz w:val="24"/>
        <w:szCs w:val="24"/>
      </w:rPr>
    </w:lvl>
    <w:lvl w:ilvl="2" w:tplc="57EC91C6">
      <w:start w:val="1"/>
      <w:numFmt w:val="bullet"/>
      <w:lvlText w:val=""/>
      <w:lvlJc w:val="left"/>
      <w:pPr>
        <w:tabs>
          <w:tab w:val="num" w:pos="1368"/>
        </w:tabs>
        <w:ind w:left="1368" w:hanging="288"/>
      </w:pPr>
      <w:rPr>
        <w:rFonts w:ascii="Symbol" w:hAnsi="Symbol" w:hint="default"/>
        <w:b/>
        <w:i w:val="0"/>
        <w:color w:val="auto"/>
        <w:sz w:val="28"/>
        <w:szCs w:val="28"/>
      </w:rPr>
    </w:lvl>
    <w:lvl w:ilvl="3" w:tplc="68C82BDE">
      <w:start w:val="1"/>
      <w:numFmt w:val="decimal"/>
      <w:lvlText w:val="%4."/>
      <w:lvlJc w:val="left"/>
      <w:pPr>
        <w:tabs>
          <w:tab w:val="num" w:pos="2520"/>
        </w:tabs>
        <w:ind w:left="2520" w:hanging="360"/>
      </w:pPr>
      <w:rPr>
        <w:rFonts w:ascii="Times New Roman" w:hAnsi="Times New Roman" w:hint="default"/>
        <w:b/>
        <w:i w:val="0"/>
        <w:sz w:val="28"/>
        <w:szCs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4"/>
  </w:num>
  <w:num w:numId="3">
    <w:abstractNumId w:val="10"/>
  </w:num>
  <w:num w:numId="4">
    <w:abstractNumId w:val="29"/>
  </w:num>
  <w:num w:numId="5">
    <w:abstractNumId w:val="27"/>
  </w:num>
  <w:num w:numId="6">
    <w:abstractNumId w:val="13"/>
  </w:num>
  <w:num w:numId="7">
    <w:abstractNumId w:val="33"/>
  </w:num>
  <w:num w:numId="8">
    <w:abstractNumId w:val="5"/>
  </w:num>
  <w:num w:numId="9">
    <w:abstractNumId w:val="23"/>
  </w:num>
  <w:num w:numId="10">
    <w:abstractNumId w:val="34"/>
  </w:num>
  <w:num w:numId="11">
    <w:abstractNumId w:val="0"/>
  </w:num>
  <w:num w:numId="12">
    <w:abstractNumId w:val="31"/>
  </w:num>
  <w:num w:numId="13">
    <w:abstractNumId w:val="17"/>
  </w:num>
  <w:num w:numId="14">
    <w:abstractNumId w:val="21"/>
  </w:num>
  <w:num w:numId="15">
    <w:abstractNumId w:val="6"/>
  </w:num>
  <w:num w:numId="16">
    <w:abstractNumId w:val="30"/>
  </w:num>
  <w:num w:numId="17">
    <w:abstractNumId w:val="12"/>
  </w:num>
  <w:num w:numId="18">
    <w:abstractNumId w:val="2"/>
  </w:num>
  <w:num w:numId="19">
    <w:abstractNumId w:val="20"/>
  </w:num>
  <w:num w:numId="20">
    <w:abstractNumId w:val="3"/>
  </w:num>
  <w:num w:numId="21">
    <w:abstractNumId w:val="35"/>
  </w:num>
  <w:num w:numId="22">
    <w:abstractNumId w:val="22"/>
  </w:num>
  <w:num w:numId="23">
    <w:abstractNumId w:val="19"/>
  </w:num>
  <w:num w:numId="24">
    <w:abstractNumId w:val="8"/>
  </w:num>
  <w:num w:numId="25">
    <w:abstractNumId w:val="15"/>
  </w:num>
  <w:num w:numId="26">
    <w:abstractNumId w:val="37"/>
  </w:num>
  <w:num w:numId="27">
    <w:abstractNumId w:val="25"/>
  </w:num>
  <w:num w:numId="28">
    <w:abstractNumId w:val="36"/>
  </w:num>
  <w:num w:numId="29">
    <w:abstractNumId w:val="28"/>
  </w:num>
  <w:num w:numId="30">
    <w:abstractNumId w:val="16"/>
  </w:num>
  <w:num w:numId="31">
    <w:abstractNumId w:val="7"/>
  </w:num>
  <w:num w:numId="32">
    <w:abstractNumId w:val="26"/>
  </w:num>
  <w:num w:numId="33">
    <w:abstractNumId w:val="1"/>
  </w:num>
  <w:num w:numId="34">
    <w:abstractNumId w:val="32"/>
  </w:num>
  <w:num w:numId="35">
    <w:abstractNumId w:val="14"/>
  </w:num>
  <w:num w:numId="36">
    <w:abstractNumId w:val="11"/>
  </w:num>
  <w:num w:numId="37">
    <w:abstractNumId w:val="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432F"/>
    <w:rsid w:val="0001707C"/>
    <w:rsid w:val="00026341"/>
    <w:rsid w:val="00062001"/>
    <w:rsid w:val="00075AF4"/>
    <w:rsid w:val="000B1540"/>
    <w:rsid w:val="000B75D5"/>
    <w:rsid w:val="000D08FB"/>
    <w:rsid w:val="000D3A5F"/>
    <w:rsid w:val="000E57E6"/>
    <w:rsid w:val="000F0A31"/>
    <w:rsid w:val="000F36D8"/>
    <w:rsid w:val="001004EE"/>
    <w:rsid w:val="00106FE2"/>
    <w:rsid w:val="00165D64"/>
    <w:rsid w:val="00193BC8"/>
    <w:rsid w:val="001F5D7B"/>
    <w:rsid w:val="002243F3"/>
    <w:rsid w:val="002305AD"/>
    <w:rsid w:val="00230F56"/>
    <w:rsid w:val="00281567"/>
    <w:rsid w:val="002A4A6E"/>
    <w:rsid w:val="002D64D7"/>
    <w:rsid w:val="002E0D1A"/>
    <w:rsid w:val="00310FA1"/>
    <w:rsid w:val="003138F4"/>
    <w:rsid w:val="00341B54"/>
    <w:rsid w:val="00352DDE"/>
    <w:rsid w:val="00371343"/>
    <w:rsid w:val="00380430"/>
    <w:rsid w:val="00382D68"/>
    <w:rsid w:val="003A235D"/>
    <w:rsid w:val="003A43D5"/>
    <w:rsid w:val="003A6694"/>
    <w:rsid w:val="003B0D52"/>
    <w:rsid w:val="003E2B72"/>
    <w:rsid w:val="003E4F5E"/>
    <w:rsid w:val="0040452A"/>
    <w:rsid w:val="00404A18"/>
    <w:rsid w:val="00407BBC"/>
    <w:rsid w:val="00440A4C"/>
    <w:rsid w:val="0045367B"/>
    <w:rsid w:val="004C65E6"/>
    <w:rsid w:val="004E103B"/>
    <w:rsid w:val="005215EB"/>
    <w:rsid w:val="00552199"/>
    <w:rsid w:val="00561974"/>
    <w:rsid w:val="00564A66"/>
    <w:rsid w:val="005B721B"/>
    <w:rsid w:val="005C21CE"/>
    <w:rsid w:val="005E432F"/>
    <w:rsid w:val="005E451E"/>
    <w:rsid w:val="006258E3"/>
    <w:rsid w:val="00631C3C"/>
    <w:rsid w:val="0063653E"/>
    <w:rsid w:val="00653A35"/>
    <w:rsid w:val="00663725"/>
    <w:rsid w:val="00664678"/>
    <w:rsid w:val="00683808"/>
    <w:rsid w:val="006D4143"/>
    <w:rsid w:val="006E4CF6"/>
    <w:rsid w:val="006F4736"/>
    <w:rsid w:val="00731689"/>
    <w:rsid w:val="007453B1"/>
    <w:rsid w:val="007751BF"/>
    <w:rsid w:val="007922F0"/>
    <w:rsid w:val="00793D90"/>
    <w:rsid w:val="007A1EEE"/>
    <w:rsid w:val="007A494D"/>
    <w:rsid w:val="007C33AF"/>
    <w:rsid w:val="007E67C9"/>
    <w:rsid w:val="007E6F4A"/>
    <w:rsid w:val="00817DD9"/>
    <w:rsid w:val="008616B2"/>
    <w:rsid w:val="00870BDD"/>
    <w:rsid w:val="00871916"/>
    <w:rsid w:val="0089251F"/>
    <w:rsid w:val="00895ED0"/>
    <w:rsid w:val="008B11F5"/>
    <w:rsid w:val="008B540F"/>
    <w:rsid w:val="008D552D"/>
    <w:rsid w:val="00904AB1"/>
    <w:rsid w:val="00910B03"/>
    <w:rsid w:val="00917885"/>
    <w:rsid w:val="00917E8A"/>
    <w:rsid w:val="00924D74"/>
    <w:rsid w:val="00952BF6"/>
    <w:rsid w:val="009667D5"/>
    <w:rsid w:val="00974211"/>
    <w:rsid w:val="009852B4"/>
    <w:rsid w:val="00986DEF"/>
    <w:rsid w:val="00997FC7"/>
    <w:rsid w:val="009A7B59"/>
    <w:rsid w:val="009D6B42"/>
    <w:rsid w:val="009F1CA8"/>
    <w:rsid w:val="00A1592A"/>
    <w:rsid w:val="00A16626"/>
    <w:rsid w:val="00A22A7C"/>
    <w:rsid w:val="00A438DF"/>
    <w:rsid w:val="00A61817"/>
    <w:rsid w:val="00A84033"/>
    <w:rsid w:val="00AD2A47"/>
    <w:rsid w:val="00AE1956"/>
    <w:rsid w:val="00B013F7"/>
    <w:rsid w:val="00B01D35"/>
    <w:rsid w:val="00B0347C"/>
    <w:rsid w:val="00B2350D"/>
    <w:rsid w:val="00B831E9"/>
    <w:rsid w:val="00BB3E8C"/>
    <w:rsid w:val="00C2061D"/>
    <w:rsid w:val="00C56859"/>
    <w:rsid w:val="00C64CCC"/>
    <w:rsid w:val="00C72181"/>
    <w:rsid w:val="00C83072"/>
    <w:rsid w:val="00CA502F"/>
    <w:rsid w:val="00CC693D"/>
    <w:rsid w:val="00D11EAB"/>
    <w:rsid w:val="00D36CBB"/>
    <w:rsid w:val="00D83B52"/>
    <w:rsid w:val="00D91731"/>
    <w:rsid w:val="00DA34F1"/>
    <w:rsid w:val="00DB39F2"/>
    <w:rsid w:val="00DC43D1"/>
    <w:rsid w:val="00DF74DA"/>
    <w:rsid w:val="00E07031"/>
    <w:rsid w:val="00E24F77"/>
    <w:rsid w:val="00E94D1D"/>
    <w:rsid w:val="00E9760F"/>
    <w:rsid w:val="00F47053"/>
    <w:rsid w:val="00F6353B"/>
    <w:rsid w:val="00FE001A"/>
    <w:rsid w:val="00FE1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97581b,#e9cf9f,#bcc5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5E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F5E"/>
    <w:pPr>
      <w:tabs>
        <w:tab w:val="center" w:pos="4680"/>
        <w:tab w:val="right" w:pos="9360"/>
      </w:tabs>
      <w:spacing w:before="0" w:after="0"/>
    </w:pPr>
  </w:style>
  <w:style w:type="character" w:customStyle="1" w:styleId="HeaderChar">
    <w:name w:val="Header Char"/>
    <w:basedOn w:val="DefaultParagraphFont"/>
    <w:link w:val="Header"/>
    <w:uiPriority w:val="99"/>
    <w:rsid w:val="003E4F5E"/>
  </w:style>
  <w:style w:type="paragraph" w:styleId="Footer">
    <w:name w:val="footer"/>
    <w:basedOn w:val="Normal"/>
    <w:link w:val="FooterChar"/>
    <w:uiPriority w:val="99"/>
    <w:unhideWhenUsed/>
    <w:rsid w:val="003E4F5E"/>
    <w:pPr>
      <w:tabs>
        <w:tab w:val="center" w:pos="4680"/>
        <w:tab w:val="right" w:pos="9360"/>
      </w:tabs>
      <w:spacing w:before="0" w:after="0"/>
    </w:pPr>
  </w:style>
  <w:style w:type="character" w:customStyle="1" w:styleId="FooterChar">
    <w:name w:val="Footer Char"/>
    <w:basedOn w:val="DefaultParagraphFont"/>
    <w:link w:val="Footer"/>
    <w:uiPriority w:val="99"/>
    <w:rsid w:val="003E4F5E"/>
  </w:style>
  <w:style w:type="paragraph" w:styleId="BalloonText">
    <w:name w:val="Balloon Text"/>
    <w:basedOn w:val="Normal"/>
    <w:link w:val="BalloonTextChar"/>
    <w:uiPriority w:val="99"/>
    <w:semiHidden/>
    <w:unhideWhenUsed/>
    <w:rsid w:val="003E4F5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5E"/>
    <w:rPr>
      <w:rFonts w:ascii="Tahoma" w:hAnsi="Tahoma" w:cs="Tahoma"/>
      <w:sz w:val="16"/>
      <w:szCs w:val="16"/>
    </w:rPr>
  </w:style>
  <w:style w:type="character" w:styleId="Hyperlink">
    <w:name w:val="Hyperlink"/>
    <w:basedOn w:val="DefaultParagraphFont"/>
    <w:uiPriority w:val="99"/>
    <w:rsid w:val="005215EB"/>
    <w:rPr>
      <w:color w:val="0000FF"/>
      <w:u w:val="single"/>
    </w:rPr>
  </w:style>
  <w:style w:type="paragraph" w:styleId="ListParagraph">
    <w:name w:val="List Paragraph"/>
    <w:basedOn w:val="Normal"/>
    <w:uiPriority w:val="34"/>
    <w:qFormat/>
    <w:rsid w:val="00521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2016-06-04T12:13:00Z</cp:lastPrinted>
  <dcterms:created xsi:type="dcterms:W3CDTF">2018-01-25T13:04:00Z</dcterms:created>
  <dcterms:modified xsi:type="dcterms:W3CDTF">2018-02-05T17:30:00Z</dcterms:modified>
</cp:coreProperties>
</file>