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050"/>
      </w:tblGrid>
      <w:tr w:rsidR="005215EB" w:rsidRPr="00B00B73" w:rsidTr="007922F0">
        <w:tc>
          <w:tcPr>
            <w:tcW w:w="4968" w:type="dxa"/>
            <w:vAlign w:val="center"/>
          </w:tcPr>
          <w:p w:rsidR="005215EB" w:rsidRPr="00B00B73" w:rsidRDefault="00731689" w:rsidP="00FE001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pict>
                <v:group id="_x0000_s1026" editas="canvas" style="width:223.2pt;height:1in;mso-position-horizontal-relative:char;mso-position-vertical-relative:line" coordorigin="2355,3615" coordsize="8928,28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55;top:3615;width:8928;height:2880" o:preferrelative="f">
                    <v:fill o:detectmouseclick="t"/>
                    <v:path o:extrusionok="t" o:connecttype="none"/>
                    <o:lock v:ext="edit" text="t"/>
                  </v:shape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_x0000_s1028" type="#_x0000_t65" style="position:absolute;left:2355;top:3615;width:8928;height:2880" fillcolor="#bcc589" stroked="f" strokecolor="#97581b" strokeweight="1.25pt">
                    <v:fill opacity=".5"/>
                    <v:textbox>
                      <w:txbxContent>
                        <w:p w:rsidR="00310FA1" w:rsidRPr="007922F0" w:rsidRDefault="00310FA1" w:rsidP="005215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922F0">
                            <w:rPr>
                              <w:rFonts w:cs="Arial"/>
                              <w:sz w:val="20"/>
                              <w:szCs w:val="20"/>
                            </w:rPr>
                            <w:t>The physical sites where commodit</w:t>
                          </w:r>
                          <w:r w:rsidR="00817DD9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ies are </w:t>
                          </w:r>
                          <w:r w:rsidRPr="007922F0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distributed to recipients are called distribution sites, final distribution points (FDP), distribution centers, or end-user centers.  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050" w:type="dxa"/>
            <w:vAlign w:val="center"/>
          </w:tcPr>
          <w:p w:rsidR="005215EB" w:rsidRPr="00A84033" w:rsidRDefault="00A84033" w:rsidP="00E24F77">
            <w:pPr>
              <w:spacing w:before="0" w:after="0" w:line="252" w:lineRule="auto"/>
              <w:rPr>
                <w:rFonts w:eastAsia="Times New Roman" w:cs="Times New Roman"/>
              </w:rPr>
            </w:pPr>
            <w:r>
              <w:t>Distribution sites</w:t>
            </w:r>
            <w:r w:rsidR="005215EB" w:rsidRPr="003A43D5">
              <w:t xml:space="preserve"> are generally identified during the program planning phase.  </w:t>
            </w:r>
            <w:r>
              <w:rPr>
                <w:rFonts w:eastAsia="Times New Roman" w:cs="Times New Roman"/>
              </w:rPr>
              <w:t xml:space="preserve">Before </w:t>
            </w:r>
            <w:r w:rsidR="00F6353B">
              <w:rPr>
                <w:rFonts w:eastAsia="Times New Roman" w:cs="Times New Roman"/>
              </w:rPr>
              <w:t>identifying</w:t>
            </w:r>
            <w:r>
              <w:rPr>
                <w:rFonts w:eastAsia="Times New Roman" w:cs="Times New Roman"/>
              </w:rPr>
              <w:t xml:space="preserve"> specific sites, it is essential to </w:t>
            </w:r>
            <w:r w:rsidR="00F6353B">
              <w:rPr>
                <w:rFonts w:eastAsia="Times New Roman" w:cs="Times New Roman"/>
              </w:rPr>
              <w:t>consider the following criteria.</w:t>
            </w:r>
          </w:p>
        </w:tc>
      </w:tr>
    </w:tbl>
    <w:p w:rsidR="00B0347C" w:rsidRPr="00DC43D1" w:rsidRDefault="00B0347C" w:rsidP="00B0347C">
      <w:pPr>
        <w:outlineLvl w:val="2"/>
        <w:rPr>
          <w:rFonts w:eastAsia="Times New Roman" w:cs="Times New Roman"/>
          <w:b/>
          <w:bCs/>
          <w:color w:val="237990"/>
          <w:sz w:val="28"/>
          <w:szCs w:val="28"/>
          <w:u w:val="single"/>
        </w:rPr>
      </w:pPr>
      <w:bookmarkStart w:id="1" w:name="_Toc265732754"/>
      <w:r w:rsidRPr="00DC43D1">
        <w:rPr>
          <w:rFonts w:eastAsia="Times New Roman" w:cs="Times New Roman"/>
          <w:b/>
          <w:bCs/>
          <w:color w:val="237990"/>
          <w:sz w:val="28"/>
          <w:szCs w:val="28"/>
        </w:rPr>
        <w:t>Distribution</w:t>
      </w:r>
      <w:bookmarkEnd w:id="1"/>
      <w:r w:rsidRPr="00DC43D1">
        <w:rPr>
          <w:rFonts w:eastAsia="Times New Roman" w:cs="Times New Roman"/>
          <w:b/>
          <w:bCs/>
          <w:color w:val="237990"/>
          <w:sz w:val="28"/>
          <w:szCs w:val="28"/>
        </w:rPr>
        <w:t xml:space="preserve"> Me</w:t>
      </w:r>
      <w:r w:rsidR="00D36CBB" w:rsidRPr="00DC43D1">
        <w:rPr>
          <w:rFonts w:eastAsia="Times New Roman" w:cs="Times New Roman"/>
          <w:b/>
          <w:bCs/>
          <w:color w:val="237990"/>
          <w:sz w:val="28"/>
          <w:szCs w:val="28"/>
        </w:rPr>
        <w:t>chanisms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395"/>
        <w:gridCol w:w="3888"/>
      </w:tblGrid>
      <w:tr w:rsidR="00B0347C" w:rsidRPr="005E451E" w:rsidTr="00E24F77">
        <w:trPr>
          <w:trHeight w:val="360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B0347C" w:rsidRPr="005E451E" w:rsidRDefault="00B0347C" w:rsidP="00310FA1">
            <w:pPr>
              <w:spacing w:before="0" w:after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5E451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Method</w:t>
            </w:r>
          </w:p>
        </w:tc>
        <w:tc>
          <w:tcPr>
            <w:tcW w:w="339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B0347C" w:rsidRPr="005E451E" w:rsidRDefault="00B0347C" w:rsidP="00310FA1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5E451E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Advantages</w:t>
            </w:r>
          </w:p>
        </w:tc>
        <w:tc>
          <w:tcPr>
            <w:tcW w:w="388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C8029"/>
            <w:vAlign w:val="center"/>
          </w:tcPr>
          <w:p w:rsidR="00B0347C" w:rsidRPr="005E451E" w:rsidRDefault="00B0347C" w:rsidP="00310FA1">
            <w:pPr>
              <w:spacing w:before="0" w:after="0"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5E451E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Disadvantages</w:t>
            </w:r>
          </w:p>
        </w:tc>
      </w:tr>
      <w:tr w:rsidR="00B0347C" w:rsidRPr="0093187E" w:rsidTr="00E24F77">
        <w:trPr>
          <w:jc w:val="center"/>
        </w:trPr>
        <w:tc>
          <w:tcPr>
            <w:tcW w:w="1845" w:type="dxa"/>
            <w:tcBorders>
              <w:top w:val="nil"/>
              <w:left w:val="nil"/>
              <w:bottom w:val="single" w:sz="8" w:space="0" w:color="7C8029"/>
              <w:right w:val="single" w:sz="8" w:space="0" w:color="7C8029"/>
            </w:tcBorders>
          </w:tcPr>
          <w:p w:rsidR="00B0347C" w:rsidRPr="0093187E" w:rsidRDefault="00B0347C" w:rsidP="005E451E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Through </w:t>
            </w:r>
            <w:r w:rsidRPr="009318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local government</w:t>
            </w:r>
          </w:p>
        </w:tc>
        <w:tc>
          <w:tcPr>
            <w:tcW w:w="3395" w:type="dxa"/>
            <w:tcBorders>
              <w:top w:val="nil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0347C" w:rsidRPr="00B0347C" w:rsidRDefault="00B0347C" w:rsidP="00DC43D1">
            <w:pPr>
              <w:numPr>
                <w:ilvl w:val="0"/>
                <w:numId w:val="3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Quick and efficient when local infrastructure is sufficient</w:t>
            </w:r>
          </w:p>
          <w:p w:rsidR="00B0347C" w:rsidRPr="00B0347C" w:rsidRDefault="00B0347C" w:rsidP="00DC43D1">
            <w:pPr>
              <w:numPr>
                <w:ilvl w:val="0"/>
                <w:numId w:val="3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Builds local capacity</w:t>
            </w:r>
          </w:p>
          <w:p w:rsidR="00B0347C" w:rsidRPr="00B0347C" w:rsidRDefault="00B0347C" w:rsidP="00DC43D1">
            <w:pPr>
              <w:numPr>
                <w:ilvl w:val="0"/>
                <w:numId w:val="3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Commonly used during early stages of emergency response</w:t>
            </w:r>
          </w:p>
        </w:tc>
        <w:tc>
          <w:tcPr>
            <w:tcW w:w="3888" w:type="dxa"/>
            <w:tcBorders>
              <w:top w:val="nil"/>
              <w:left w:val="single" w:sz="8" w:space="0" w:color="7C8029"/>
              <w:bottom w:val="single" w:sz="8" w:space="0" w:color="7C8029"/>
              <w:right w:val="nil"/>
            </w:tcBorders>
          </w:tcPr>
          <w:p w:rsidR="00B0347C" w:rsidRPr="00B0347C" w:rsidRDefault="00B0347C" w:rsidP="00DC43D1">
            <w:pPr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Government capacity may be limited</w:t>
            </w:r>
          </w:p>
          <w:p w:rsidR="00B0347C" w:rsidRPr="00B0347C" w:rsidRDefault="00B0347C" w:rsidP="00DC43D1">
            <w:pPr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High cost when local infrastructure needs to be reinforced</w:t>
            </w:r>
          </w:p>
          <w:p w:rsidR="00B0347C" w:rsidRPr="00B0347C" w:rsidRDefault="00B0347C" w:rsidP="00DC43D1">
            <w:pPr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Government (or officials) may have financial or political motives for controlling distributions to recipients</w:t>
            </w:r>
          </w:p>
        </w:tc>
      </w:tr>
      <w:tr w:rsidR="00B0347C" w:rsidRPr="0093187E" w:rsidTr="00E24F77">
        <w:trPr>
          <w:jc w:val="center"/>
        </w:trPr>
        <w:tc>
          <w:tcPr>
            <w:tcW w:w="1845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B0347C" w:rsidRPr="0093187E" w:rsidRDefault="00B0347C" w:rsidP="005E451E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Through </w:t>
            </w:r>
            <w:r w:rsidR="007922F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community </w:t>
            </w:r>
            <w:r w:rsidRPr="009318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leaders</w:t>
            </w:r>
          </w:p>
        </w:tc>
        <w:tc>
          <w:tcPr>
            <w:tcW w:w="339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0347C" w:rsidRPr="00B0347C" w:rsidRDefault="00DC43D1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B0347C" w:rsidRPr="00B0347C">
              <w:rPr>
                <w:rFonts w:ascii="Calibri" w:eastAsia="Times New Roman" w:hAnsi="Calibri" w:cs="Calibri"/>
                <w:sz w:val="20"/>
                <w:szCs w:val="20"/>
              </w:rPr>
              <w:t>ocial and cultural values of the population respected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Easy for dispersed populations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Low-cost and quick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No external registration or ration cards needed</w:t>
            </w:r>
          </w:p>
        </w:tc>
        <w:tc>
          <w:tcPr>
            <w:tcW w:w="3888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Knowledge of social structures and power relations essential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Effective only in small</w:t>
            </w:r>
            <w:r w:rsidR="00DC43D1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 xml:space="preserve"> intact communities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Risk of abuse if social structures are broken down or replaced by abusive leadership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Difficult to monitor</w:t>
            </w:r>
          </w:p>
        </w:tc>
      </w:tr>
      <w:tr w:rsidR="00B0347C" w:rsidRPr="0093187E" w:rsidTr="00E24F77">
        <w:trPr>
          <w:jc w:val="center"/>
        </w:trPr>
        <w:tc>
          <w:tcPr>
            <w:tcW w:w="1845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B0347C" w:rsidRPr="0093187E" w:rsidRDefault="00B0347C" w:rsidP="005E451E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Through </w:t>
            </w:r>
            <w:r w:rsidRPr="009318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new groups or committees</w:t>
            </w:r>
          </w:p>
          <w:p w:rsidR="00B0347C" w:rsidRPr="0093187E" w:rsidRDefault="00B0347C" w:rsidP="005E451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Undermines abusive power relations and has a lower risk of abuse</w:t>
            </w:r>
          </w:p>
          <w:p w:rsidR="00B0347C" w:rsidRPr="00B0347C" w:rsidRDefault="00DC43D1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ccur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rence of 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B0347C" w:rsidRPr="00B0347C">
              <w:rPr>
                <w:rFonts w:ascii="Calibri" w:eastAsia="Times New Roman" w:hAnsi="Calibri" w:cs="Calibri"/>
                <w:sz w:val="20"/>
                <w:szCs w:val="20"/>
              </w:rPr>
              <w:t>ome community participation, particularly women’s representation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Self-monitoring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Low-cost</w:t>
            </w:r>
          </w:p>
        </w:tc>
        <w:tc>
          <w:tcPr>
            <w:tcW w:w="3888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External registration and ration cards needed in some cases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Appropriate in stable situations only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Groups must be elected so that they truly represent communities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Resentment from traditional leadership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Extensive information campaigns needed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Plans must be in place to counter any efforts to undermine new groups by old, established groups</w:t>
            </w:r>
          </w:p>
        </w:tc>
      </w:tr>
      <w:tr w:rsidR="00B0347C" w:rsidRPr="0093187E" w:rsidTr="00E24F77">
        <w:trPr>
          <w:jc w:val="center"/>
        </w:trPr>
        <w:tc>
          <w:tcPr>
            <w:tcW w:w="1845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B0347C" w:rsidRPr="0093187E" w:rsidRDefault="00B0347C" w:rsidP="005E451E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Direct to </w:t>
            </w:r>
            <w:r w:rsidRPr="009318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households </w:t>
            </w: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</w:rPr>
              <w:t>in groups or individually</w:t>
            </w:r>
            <w:r w:rsidRPr="0093187E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(1)</w:t>
            </w:r>
          </w:p>
          <w:p w:rsidR="00B0347C" w:rsidRPr="0093187E" w:rsidRDefault="00B0347C" w:rsidP="005E451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Efficient for large</w:t>
            </w:r>
            <w:r w:rsidR="00DC43D1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 xml:space="preserve"> unstructured populations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 xml:space="preserve">Initial control over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recipient 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numbers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Undermines abusive power relations and leadership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Less risk of unequal distribution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Easy to monitor</w:t>
            </w:r>
          </w:p>
        </w:tc>
        <w:tc>
          <w:tcPr>
            <w:tcW w:w="3888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High-cost (staff, materials, time)</w:t>
            </w:r>
          </w:p>
          <w:p w:rsidR="00B0347C" w:rsidRP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 xml:space="preserve">Limited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recipient</w:t>
            </w: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 xml:space="preserve"> participation</w:t>
            </w:r>
          </w:p>
          <w:p w:rsidR="00B0347C" w:rsidRDefault="00B0347C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0347C">
              <w:rPr>
                <w:rFonts w:ascii="Calibri" w:eastAsia="Times New Roman" w:hAnsi="Calibri" w:cs="Calibri"/>
                <w:sz w:val="20"/>
                <w:szCs w:val="20"/>
              </w:rPr>
              <w:t>Registration and ration cards necessary</w:t>
            </w:r>
          </w:p>
          <w:p w:rsidR="005E451E" w:rsidRPr="00B0347C" w:rsidRDefault="005E451E" w:rsidP="00DC43D1">
            <w:pPr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 group distributions, all members may not receive equal amounts</w:t>
            </w:r>
          </w:p>
          <w:p w:rsidR="00B0347C" w:rsidRPr="00B0347C" w:rsidRDefault="00B0347C" w:rsidP="005E451E">
            <w:pPr>
              <w:spacing w:before="60" w:after="60"/>
              <w:ind w:left="216" w:hanging="216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0347C" w:rsidRPr="00DF74DA" w:rsidRDefault="00B0347C" w:rsidP="00B0347C">
      <w:pPr>
        <w:autoSpaceDE w:val="0"/>
        <w:autoSpaceDN w:val="0"/>
        <w:adjustRightInd w:val="0"/>
        <w:spacing w:before="60" w:after="60"/>
        <w:ind w:left="432"/>
        <w:jc w:val="right"/>
        <w:rPr>
          <w:rFonts w:ascii="Arial" w:eastAsia="Times New Roman" w:hAnsi="Arial" w:cs="Arial"/>
          <w:b/>
          <w:sz w:val="16"/>
          <w:szCs w:val="16"/>
          <w:vertAlign w:val="superscript"/>
        </w:rPr>
      </w:pPr>
      <w:r w:rsidRPr="00DF74DA">
        <w:rPr>
          <w:rFonts w:eastAsia="Times New Roman" w:cs="Times New Roman"/>
          <w:sz w:val="16"/>
          <w:szCs w:val="16"/>
        </w:rPr>
        <w:t>Adapted from Emergency Field Operations Pocketbook, WFP, 2002</w:t>
      </w:r>
    </w:p>
    <w:p w:rsidR="00B0347C" w:rsidRPr="0093187E" w:rsidRDefault="00B0347C" w:rsidP="00B0347C">
      <w:pPr>
        <w:autoSpaceDE w:val="0"/>
        <w:autoSpaceDN w:val="0"/>
        <w:adjustRightInd w:val="0"/>
        <w:spacing w:before="0" w:after="60"/>
        <w:ind w:left="432"/>
        <w:rPr>
          <w:rFonts w:ascii="Calibri" w:eastAsia="Times New Roman" w:hAnsi="Calibri" w:cs="Calibri"/>
          <w:sz w:val="18"/>
          <w:szCs w:val="18"/>
        </w:rPr>
      </w:pPr>
      <w:r w:rsidRPr="0093187E">
        <w:rPr>
          <w:rFonts w:ascii="Arial" w:eastAsia="Times New Roman" w:hAnsi="Arial" w:cs="Arial"/>
          <w:b/>
          <w:sz w:val="18"/>
          <w:szCs w:val="18"/>
          <w:vertAlign w:val="superscript"/>
        </w:rPr>
        <w:t>(1)</w:t>
      </w:r>
      <w:r w:rsidRPr="0093187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93187E">
        <w:rPr>
          <w:rFonts w:ascii="Calibri" w:eastAsia="Times New Roman" w:hAnsi="Calibri" w:cs="Calibri"/>
          <w:sz w:val="18"/>
          <w:szCs w:val="18"/>
        </w:rPr>
        <w:t>Where distribution is to households:</w:t>
      </w:r>
    </w:p>
    <w:p w:rsidR="00B0347C" w:rsidRPr="0093187E" w:rsidRDefault="000F36D8" w:rsidP="00B0347C">
      <w:pPr>
        <w:numPr>
          <w:ilvl w:val="0"/>
          <w:numId w:val="14"/>
        </w:numPr>
        <w:autoSpaceDE w:val="0"/>
        <w:autoSpaceDN w:val="0"/>
        <w:adjustRightInd w:val="0"/>
        <w:spacing w:before="60" w:after="0"/>
        <w:ind w:left="864" w:hanging="288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</w:t>
      </w:r>
      <w:r w:rsidR="00B0347C" w:rsidRPr="0093187E">
        <w:rPr>
          <w:rFonts w:ascii="Calibri" w:eastAsia="Times New Roman" w:hAnsi="Calibri" w:cs="Calibri"/>
          <w:sz w:val="18"/>
          <w:szCs w:val="18"/>
        </w:rPr>
        <w:t xml:space="preserve">istribution to representatives of </w:t>
      </w:r>
      <w:r w:rsidR="00B0347C" w:rsidRPr="000F36D8">
        <w:rPr>
          <w:rFonts w:ascii="Calibri" w:eastAsia="Times New Roman" w:hAnsi="Calibri" w:cs="Calibri"/>
          <w:b/>
          <w:sz w:val="18"/>
          <w:szCs w:val="18"/>
        </w:rPr>
        <w:t>individual households</w:t>
      </w:r>
      <w:r w:rsidR="00B0347C" w:rsidRPr="0093187E">
        <w:rPr>
          <w:rFonts w:ascii="Calibri" w:eastAsia="Times New Roman" w:hAnsi="Calibri" w:cs="Calibri"/>
          <w:sz w:val="18"/>
          <w:szCs w:val="18"/>
        </w:rPr>
        <w:t xml:space="preserve"> assures more direct agency control but requires considerable resources</w:t>
      </w:r>
      <w:r w:rsidR="00DC43D1">
        <w:rPr>
          <w:rFonts w:ascii="Calibri" w:eastAsia="Times New Roman" w:hAnsi="Calibri" w:cs="Calibri"/>
          <w:sz w:val="18"/>
          <w:szCs w:val="18"/>
        </w:rPr>
        <w:t>.</w:t>
      </w:r>
    </w:p>
    <w:p w:rsidR="00B0347C" w:rsidRPr="00B0347C" w:rsidRDefault="000F36D8" w:rsidP="00B0347C">
      <w:pPr>
        <w:numPr>
          <w:ilvl w:val="0"/>
          <w:numId w:val="14"/>
        </w:numPr>
        <w:autoSpaceDE w:val="0"/>
        <w:autoSpaceDN w:val="0"/>
        <w:adjustRightInd w:val="0"/>
        <w:spacing w:before="0" w:after="200" w:line="276" w:lineRule="auto"/>
        <w:ind w:left="864" w:hanging="288"/>
        <w:rPr>
          <w:rFonts w:eastAsia="Times New Roman" w:cs="Arial"/>
          <w:b/>
          <w:sz w:val="28"/>
          <w:szCs w:val="28"/>
        </w:rPr>
      </w:pPr>
      <w:r>
        <w:rPr>
          <w:rFonts w:ascii="Calibri" w:eastAsia="Times New Roman" w:hAnsi="Calibri" w:cs="Calibri"/>
          <w:sz w:val="18"/>
          <w:szCs w:val="18"/>
        </w:rPr>
        <w:t>D</w:t>
      </w:r>
      <w:r w:rsidR="00B0347C" w:rsidRPr="00B0347C">
        <w:rPr>
          <w:rFonts w:ascii="Calibri" w:eastAsia="Times New Roman" w:hAnsi="Calibri" w:cs="Calibri"/>
          <w:sz w:val="18"/>
          <w:szCs w:val="18"/>
        </w:rPr>
        <w:t xml:space="preserve">istribution to pre-defined </w:t>
      </w:r>
      <w:r w:rsidR="00B0347C" w:rsidRPr="000F36D8">
        <w:rPr>
          <w:rFonts w:ascii="Calibri" w:eastAsia="Times New Roman" w:hAnsi="Calibri" w:cs="Calibri"/>
          <w:b/>
          <w:sz w:val="18"/>
          <w:szCs w:val="18"/>
        </w:rPr>
        <w:t>groups of households</w:t>
      </w:r>
      <w:r w:rsidR="00B0347C" w:rsidRPr="00B0347C">
        <w:rPr>
          <w:rFonts w:ascii="Calibri" w:eastAsia="Times New Roman" w:hAnsi="Calibri" w:cs="Calibri"/>
          <w:sz w:val="18"/>
          <w:szCs w:val="18"/>
        </w:rPr>
        <w:t xml:space="preserve"> is less resource-intensive and less demeaning for </w:t>
      </w:r>
      <w:r w:rsidR="00FE001A">
        <w:rPr>
          <w:rFonts w:ascii="Calibri" w:eastAsia="Times New Roman" w:hAnsi="Calibri" w:cs="Calibri"/>
          <w:sz w:val="18"/>
          <w:szCs w:val="18"/>
        </w:rPr>
        <w:t>recipient</w:t>
      </w:r>
      <w:r w:rsidR="00B0347C" w:rsidRPr="00B0347C">
        <w:rPr>
          <w:rFonts w:ascii="Calibri" w:eastAsia="Times New Roman" w:hAnsi="Calibri" w:cs="Calibri"/>
          <w:sz w:val="18"/>
          <w:szCs w:val="18"/>
        </w:rPr>
        <w:t>s, but is feasible only when there is good registration and homogeneous groups can be identified</w:t>
      </w:r>
      <w:r w:rsidR="00DC43D1">
        <w:rPr>
          <w:rFonts w:ascii="Calibri" w:eastAsia="Times New Roman" w:hAnsi="Calibri" w:cs="Calibri"/>
          <w:sz w:val="18"/>
          <w:szCs w:val="18"/>
        </w:rPr>
        <w:t>.</w:t>
      </w:r>
      <w:r w:rsidR="00B0347C" w:rsidRPr="00B0347C">
        <w:rPr>
          <w:rFonts w:eastAsia="Times New Roman" w:cs="Arial"/>
          <w:b/>
          <w:sz w:val="28"/>
          <w:szCs w:val="28"/>
        </w:rPr>
        <w:br w:type="page"/>
      </w:r>
    </w:p>
    <w:p w:rsidR="00952BF6" w:rsidRPr="00DC43D1" w:rsidRDefault="00952BF6" w:rsidP="00106FE2">
      <w:pPr>
        <w:spacing w:after="240"/>
        <w:rPr>
          <w:b/>
          <w:color w:val="237990"/>
          <w:sz w:val="28"/>
          <w:szCs w:val="28"/>
        </w:rPr>
      </w:pPr>
      <w:r w:rsidRPr="00DC43D1">
        <w:rPr>
          <w:b/>
          <w:color w:val="237990"/>
          <w:sz w:val="28"/>
          <w:szCs w:val="28"/>
        </w:rPr>
        <w:lastRenderedPageBreak/>
        <w:t xml:space="preserve">Site </w:t>
      </w:r>
      <w:r w:rsidR="00653A35" w:rsidRPr="00DC43D1">
        <w:rPr>
          <w:b/>
          <w:color w:val="237990"/>
          <w:sz w:val="28"/>
          <w:szCs w:val="28"/>
        </w:rPr>
        <w:t>Select</w:t>
      </w:r>
      <w:r w:rsidR="00974211" w:rsidRPr="00DC43D1">
        <w:rPr>
          <w:b/>
          <w:color w:val="237990"/>
          <w:sz w:val="28"/>
          <w:szCs w:val="28"/>
        </w:rPr>
        <w:t>ion</w:t>
      </w:r>
      <w:r w:rsidRPr="00DC43D1">
        <w:rPr>
          <w:b/>
          <w:color w:val="237990"/>
          <w:sz w:val="28"/>
          <w:szCs w:val="28"/>
        </w:rPr>
        <w:t xml:space="preserve"> C</w:t>
      </w:r>
      <w:r w:rsidR="00653A35" w:rsidRPr="00DC43D1">
        <w:rPr>
          <w:b/>
          <w:color w:val="237990"/>
          <w:sz w:val="28"/>
          <w:szCs w:val="28"/>
        </w:rPr>
        <w:t>onsiderations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D36CBB" w:rsidTr="00A22A7C">
        <w:tc>
          <w:tcPr>
            <w:tcW w:w="648" w:type="dxa"/>
          </w:tcPr>
          <w:p w:rsidR="00D36CBB" w:rsidRPr="00653A35" w:rsidRDefault="00D36CBB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D36CBB" w:rsidRPr="00380430" w:rsidRDefault="00D36CBB" w:rsidP="00974211">
            <w:pPr>
              <w:spacing w:after="0" w:line="252" w:lineRule="auto"/>
            </w:pPr>
            <w:r>
              <w:t>Population density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Default="00DC43D1" w:rsidP="00653A35">
            <w:pPr>
              <w:spacing w:after="0" w:line="252" w:lineRule="auto"/>
            </w:pPr>
            <w:r>
              <w:t>Year-</w:t>
            </w:r>
            <w:r w:rsidR="00653A35" w:rsidRPr="00380430">
              <w:t xml:space="preserve">round access for commodity transporters </w:t>
            </w:r>
            <w:r w:rsidR="00653A35">
              <w:t>(preferable)</w:t>
            </w:r>
          </w:p>
        </w:tc>
      </w:tr>
      <w:tr w:rsidR="005E432F" w:rsidTr="00A22A7C">
        <w:tc>
          <w:tcPr>
            <w:tcW w:w="648" w:type="dxa"/>
          </w:tcPr>
          <w:p w:rsidR="005E432F" w:rsidRPr="00653A35" w:rsidRDefault="005E432F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5E432F" w:rsidRPr="00380430" w:rsidRDefault="00D36CBB" w:rsidP="00DC43D1">
            <w:pPr>
              <w:spacing w:after="0" w:line="252" w:lineRule="auto"/>
            </w:pPr>
            <w:r>
              <w:t xml:space="preserve">Accessibility for recipients </w:t>
            </w:r>
            <w:r w:rsidRPr="00380430">
              <w:t>(</w:t>
            </w:r>
            <w:r w:rsidR="00DC43D1">
              <w:t>a</w:t>
            </w:r>
            <w:r w:rsidRPr="00380430">
              <w:t xml:space="preserve">void sites more than </w:t>
            </w:r>
            <w:r>
              <w:t xml:space="preserve">5 </w:t>
            </w:r>
            <w:r w:rsidRPr="00380430">
              <w:t>km from recipients’ homes)</w:t>
            </w:r>
          </w:p>
        </w:tc>
      </w:tr>
      <w:tr w:rsidR="005E432F" w:rsidTr="00A22A7C">
        <w:tc>
          <w:tcPr>
            <w:tcW w:w="648" w:type="dxa"/>
          </w:tcPr>
          <w:p w:rsidR="005E432F" w:rsidRPr="00653A35" w:rsidRDefault="005E432F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5E432F" w:rsidRPr="00380430" w:rsidRDefault="00380430" w:rsidP="00DC43D1">
            <w:pPr>
              <w:spacing w:after="0" w:line="252" w:lineRule="auto"/>
            </w:pPr>
            <w:r>
              <w:t>Size</w:t>
            </w:r>
            <w:r w:rsidRPr="009852B4">
              <w:t xml:space="preserve"> (</w:t>
            </w:r>
            <w:r w:rsidR="00DC43D1">
              <w:t>e</w:t>
            </w:r>
            <w:r>
              <w:t>nsure adequate space</w:t>
            </w:r>
            <w:r w:rsidRPr="009852B4">
              <w:t xml:space="preserve"> </w:t>
            </w:r>
            <w:r w:rsidRPr="009852B4">
              <w:rPr>
                <w:lang w:val="en-GB"/>
              </w:rPr>
              <w:t>to contain the commodity to be distributed</w:t>
            </w:r>
            <w:r w:rsidR="00D36CBB">
              <w:rPr>
                <w:lang w:val="en-GB"/>
              </w:rPr>
              <w:t>,</w:t>
            </w:r>
            <w:r w:rsidR="00106FE2">
              <w:rPr>
                <w:lang w:val="en-GB"/>
              </w:rPr>
              <w:t xml:space="preserve"> a partitioned </w:t>
            </w:r>
            <w:r w:rsidRPr="009852B4">
              <w:rPr>
                <w:lang w:val="en-GB"/>
              </w:rPr>
              <w:t>area for distribution, a</w:t>
            </w:r>
            <w:r w:rsidR="00653A35">
              <w:rPr>
                <w:lang w:val="en-GB"/>
              </w:rPr>
              <w:t>nd waiting space for recipients</w:t>
            </w:r>
            <w:r w:rsidRPr="009852B4">
              <w:rPr>
                <w:lang w:val="en-GB"/>
              </w:rPr>
              <w:t>)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9D6B40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Default="00653A35" w:rsidP="009D6B40">
            <w:pPr>
              <w:spacing w:after="0" w:line="252" w:lineRule="auto"/>
              <w:rPr>
                <w:rFonts w:eastAsia="Times New Roman" w:cs="Calibri"/>
              </w:rPr>
            </w:pPr>
            <w:r w:rsidRPr="00A22A7C">
              <w:rPr>
                <w:rFonts w:eastAsia="Times New Roman" w:cs="Calibri"/>
              </w:rPr>
              <w:t>Distribution frequency</w:t>
            </w:r>
            <w:r w:rsidRPr="00B0347C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(</w:t>
            </w:r>
            <w:r w:rsidRPr="00B0347C">
              <w:rPr>
                <w:rFonts w:eastAsia="Times New Roman" w:cs="Calibri"/>
              </w:rPr>
              <w:t>the interval of time between distributions</w:t>
            </w:r>
            <w:r w:rsidR="00DC43D1">
              <w:rPr>
                <w:rFonts w:eastAsia="Times New Roman" w:cs="Calibri"/>
              </w:rPr>
              <w:t>-</w:t>
            </w:r>
            <w:r w:rsidRPr="00B0347C">
              <w:rPr>
                <w:rFonts w:eastAsia="Times New Roman" w:cs="Calibri"/>
              </w:rPr>
              <w:t>for exampl</w:t>
            </w:r>
            <w:r>
              <w:rPr>
                <w:rFonts w:eastAsia="Times New Roman" w:cs="Calibri"/>
              </w:rPr>
              <w:t>e</w:t>
            </w:r>
            <w:r w:rsidR="00DC43D1">
              <w:rPr>
                <w:rFonts w:eastAsia="Times New Roman" w:cs="Calibri"/>
              </w:rPr>
              <w:t>,</w:t>
            </w:r>
            <w:r>
              <w:rPr>
                <w:rFonts w:eastAsia="Times New Roman" w:cs="Calibri"/>
              </w:rPr>
              <w:t xml:space="preserve"> weekly, bi-weekly, or monthly)</w:t>
            </w:r>
          </w:p>
          <w:p w:rsidR="00653A35" w:rsidRPr="00974211" w:rsidRDefault="00653A35" w:rsidP="009D6B4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52" w:lineRule="auto"/>
              <w:ind w:left="360"/>
              <w:contextualSpacing w:val="0"/>
              <w:rPr>
                <w:rFonts w:eastAsia="Times New Roman" w:cs="Calibri"/>
              </w:rPr>
            </w:pPr>
            <w:r w:rsidRPr="00974211">
              <w:rPr>
                <w:rFonts w:eastAsia="Times New Roman" w:cs="Calibri"/>
              </w:rPr>
              <w:t>More frequent (e.g.</w:t>
            </w:r>
            <w:r w:rsidR="00DC43D1">
              <w:rPr>
                <w:rFonts w:eastAsia="Times New Roman" w:cs="Calibri"/>
              </w:rPr>
              <w:t>,</w:t>
            </w:r>
            <w:r w:rsidRPr="00974211">
              <w:rPr>
                <w:rFonts w:eastAsia="Times New Roman" w:cs="Calibri"/>
              </w:rPr>
              <w:t xml:space="preserve"> weekly</w:t>
            </w:r>
            <w:r w:rsidR="00DC43D1">
              <w:rPr>
                <w:rFonts w:eastAsia="Times New Roman" w:cs="Calibri"/>
              </w:rPr>
              <w:t xml:space="preserve"> or</w:t>
            </w:r>
            <w:r w:rsidRPr="00974211">
              <w:rPr>
                <w:rFonts w:eastAsia="Times New Roman" w:cs="Calibri"/>
              </w:rPr>
              <w:t xml:space="preserve"> bi-weekly) distributions require more supervision and monitoring staff, and recipients spend more time (days) collecting commodity</w:t>
            </w:r>
            <w:r w:rsidR="005C21CE">
              <w:rPr>
                <w:rFonts w:eastAsia="Times New Roman" w:cs="Calibri"/>
              </w:rPr>
              <w:t>.</w:t>
            </w:r>
          </w:p>
          <w:p w:rsidR="00653A35" w:rsidRPr="000F36D8" w:rsidRDefault="00653A35" w:rsidP="009D6B4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52" w:lineRule="auto"/>
              <w:ind w:left="360"/>
              <w:contextualSpacing w:val="0"/>
              <w:rPr>
                <w:rFonts w:eastAsia="Times New Roman" w:cs="Calibri"/>
              </w:rPr>
            </w:pPr>
            <w:r w:rsidRPr="000F36D8">
              <w:rPr>
                <w:rFonts w:eastAsia="Times New Roman" w:cs="Calibri"/>
              </w:rPr>
              <w:t>In less frequent (e.g.</w:t>
            </w:r>
            <w:r w:rsidR="005C21CE">
              <w:rPr>
                <w:rFonts w:eastAsia="Times New Roman" w:cs="Calibri"/>
              </w:rPr>
              <w:t>,</w:t>
            </w:r>
            <w:r w:rsidRPr="000F36D8">
              <w:rPr>
                <w:rFonts w:eastAsia="Times New Roman" w:cs="Calibri"/>
              </w:rPr>
              <w:t xml:space="preserve"> monthly) distributions</w:t>
            </w:r>
            <w:r w:rsidR="005C21CE">
              <w:rPr>
                <w:rFonts w:eastAsia="Times New Roman" w:cs="Calibri"/>
              </w:rPr>
              <w:t>,</w:t>
            </w:r>
            <w:r w:rsidRPr="000F36D8">
              <w:rPr>
                <w:rFonts w:eastAsia="Times New Roman" w:cs="Calibri"/>
              </w:rPr>
              <w:t xml:space="preserve"> larger quantities are distributed</w:t>
            </w:r>
            <w:r w:rsidR="005C21CE">
              <w:rPr>
                <w:rFonts w:eastAsia="Times New Roman" w:cs="Calibri"/>
              </w:rPr>
              <w:t>,</w:t>
            </w:r>
            <w:r w:rsidRPr="000F36D8">
              <w:rPr>
                <w:rFonts w:eastAsia="Times New Roman" w:cs="Calibri"/>
              </w:rPr>
              <w:t xml:space="preserve"> which may exceed recipients</w:t>
            </w:r>
            <w:r w:rsidR="005C21CE">
              <w:rPr>
                <w:rFonts w:eastAsia="Times New Roman" w:cs="Calibri"/>
              </w:rPr>
              <w:t>’</w:t>
            </w:r>
            <w:r w:rsidRPr="000F36D8">
              <w:rPr>
                <w:rFonts w:eastAsia="Times New Roman" w:cs="Calibri"/>
              </w:rPr>
              <w:t xml:space="preserve"> carrying capacity, create home storage problems, and increase </w:t>
            </w:r>
            <w:r w:rsidR="005C21CE">
              <w:rPr>
                <w:rFonts w:eastAsia="Times New Roman" w:cs="Calibri"/>
              </w:rPr>
              <w:t xml:space="preserve">the </w:t>
            </w:r>
            <w:r w:rsidRPr="000F36D8">
              <w:rPr>
                <w:rFonts w:eastAsia="Times New Roman" w:cs="Calibri"/>
              </w:rPr>
              <w:t>risk that commodity will be sold by or stolen from recipients</w:t>
            </w:r>
            <w:r w:rsidR="005C21CE">
              <w:rPr>
                <w:rFonts w:eastAsia="Times New Roman" w:cs="Calibri"/>
              </w:rPr>
              <w:t>.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380430" w:rsidRDefault="00653A35" w:rsidP="00974211">
            <w:pPr>
              <w:spacing w:after="0" w:line="252" w:lineRule="auto"/>
            </w:pPr>
            <w:r>
              <w:t>A</w:t>
            </w:r>
            <w:r w:rsidRPr="009852B4">
              <w:rPr>
                <w:rFonts w:cs="Arial"/>
              </w:rPr>
              <w:t>vailability of drinking water, sanitation</w:t>
            </w:r>
            <w:r>
              <w:rPr>
                <w:rFonts w:cs="Arial"/>
              </w:rPr>
              <w:t>,</w:t>
            </w:r>
            <w:r w:rsidRPr="009852B4">
              <w:rPr>
                <w:rFonts w:cs="Arial"/>
              </w:rPr>
              <w:t xml:space="preserve"> and shade for recipients and staff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380430" w:rsidRDefault="00653A35" w:rsidP="005C21CE">
            <w:pPr>
              <w:spacing w:after="0" w:line="252" w:lineRule="auto"/>
            </w:pPr>
            <w:r>
              <w:t>Crowd control (</w:t>
            </w:r>
            <w:r w:rsidR="005C21CE">
              <w:t>a</w:t>
            </w:r>
            <w:r>
              <w:t>void sites too close to markets</w:t>
            </w:r>
            <w:r w:rsidRPr="00631C3C">
              <w:t>/</w:t>
            </w:r>
            <w:r>
              <w:t>b</w:t>
            </w:r>
            <w:r w:rsidRPr="00631C3C">
              <w:t>azar</w:t>
            </w:r>
            <w:r>
              <w:t>s</w:t>
            </w:r>
            <w:r w:rsidRPr="00631C3C">
              <w:t xml:space="preserve">, </w:t>
            </w:r>
            <w:r>
              <w:t>r</w:t>
            </w:r>
            <w:r w:rsidRPr="00631C3C">
              <w:t xml:space="preserve">ail </w:t>
            </w:r>
            <w:r>
              <w:t>s</w:t>
            </w:r>
            <w:r w:rsidRPr="00631C3C">
              <w:t>tation</w:t>
            </w:r>
            <w:r>
              <w:t xml:space="preserve">, or other areas prone to </w:t>
            </w:r>
            <w:r w:rsidRPr="005215EB">
              <w:rPr>
                <w:lang w:val="en-GB"/>
              </w:rPr>
              <w:t>crowd</w:t>
            </w:r>
            <w:r>
              <w:rPr>
                <w:lang w:val="en-GB"/>
              </w:rPr>
              <w:t>s)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380430" w:rsidRDefault="00653A35" w:rsidP="005C21CE">
            <w:pPr>
              <w:spacing w:after="0" w:line="252" w:lineRule="auto"/>
            </w:pPr>
            <w:r>
              <w:t>Personal safety (</w:t>
            </w:r>
            <w:r w:rsidR="005C21CE">
              <w:t>a</w:t>
            </w:r>
            <w:r w:rsidRPr="00631C3C">
              <w:t>void risky places</w:t>
            </w:r>
            <w:r w:rsidR="005C21CE">
              <w:t>,</w:t>
            </w:r>
            <w:r w:rsidRPr="00631C3C">
              <w:t xml:space="preserve"> </w:t>
            </w:r>
            <w:r>
              <w:t>such as directly on a busy road</w:t>
            </w:r>
            <w:r w:rsidRPr="00631C3C">
              <w:t xml:space="preserve"> </w:t>
            </w:r>
            <w:r>
              <w:t>or on the bank of a r</w:t>
            </w:r>
            <w:r w:rsidRPr="00631C3C">
              <w:t>iver</w:t>
            </w:r>
            <w:r>
              <w:t xml:space="preserve"> or lake</w:t>
            </w:r>
            <w:r>
              <w:rPr>
                <w:lang w:val="en-GB"/>
              </w:rPr>
              <w:t>)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106FE2" w:rsidRDefault="00653A35" w:rsidP="005C21CE">
            <w:pPr>
              <w:spacing w:after="0" w:line="252" w:lineRule="auto"/>
              <w:rPr>
                <w:lang w:val="en-GB"/>
              </w:rPr>
            </w:pPr>
            <w:r>
              <w:t>Security</w:t>
            </w:r>
            <w:r w:rsidRPr="00062001">
              <w:t xml:space="preserve"> (</w:t>
            </w:r>
            <w:r w:rsidR="005C21CE">
              <w:rPr>
                <w:rFonts w:ascii="Calibri" w:eastAsia="Times New Roman" w:hAnsi="Calibri" w:cs="Calibri"/>
              </w:rPr>
              <w:t>t</w:t>
            </w:r>
            <w:r w:rsidRPr="00062001">
              <w:rPr>
                <w:rFonts w:ascii="Calibri" w:eastAsia="Times New Roman" w:hAnsi="Calibri" w:cs="Calibri"/>
              </w:rPr>
              <w:t>ry to select communal sites, enclosed by a fence, with emergency exits)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9852B4" w:rsidRDefault="00653A35" w:rsidP="00974211">
            <w:pPr>
              <w:spacing w:after="0" w:line="252" w:lineRule="auto"/>
            </w:pPr>
            <w:r w:rsidRPr="009852B4">
              <w:rPr>
                <w:bCs/>
              </w:rPr>
              <w:t>Compliance with USAID environment policy</w:t>
            </w:r>
          </w:p>
        </w:tc>
      </w:tr>
      <w:tr w:rsidR="00653A35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9852B4" w:rsidRDefault="00653A35" w:rsidP="005C21CE">
            <w:pPr>
              <w:spacing w:after="0" w:line="252" w:lineRule="auto"/>
            </w:pPr>
            <w:r w:rsidRPr="009852B4">
              <w:t>Approval by project management (</w:t>
            </w:r>
            <w:r w:rsidR="005C21CE">
              <w:t>t</w:t>
            </w:r>
            <w:r w:rsidRPr="009852B4">
              <w:t xml:space="preserve">o reduce potential commodity </w:t>
            </w:r>
            <w:r>
              <w:t>misuse</w:t>
            </w:r>
            <w:r w:rsidRPr="009852B4">
              <w:t>, t</w:t>
            </w:r>
            <w:r w:rsidRPr="009852B4">
              <w:rPr>
                <w:rFonts w:eastAsia="Times New Roman" w:cs="Times New Roman"/>
              </w:rPr>
              <w:t>he addition or deletion of a distribution site should be approved by program management)</w:t>
            </w:r>
          </w:p>
        </w:tc>
      </w:tr>
      <w:tr w:rsidR="00440A4C" w:rsidTr="00A22A7C">
        <w:tc>
          <w:tcPr>
            <w:tcW w:w="648" w:type="dxa"/>
          </w:tcPr>
          <w:p w:rsidR="00440A4C" w:rsidRPr="00653A35" w:rsidRDefault="00440A4C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440A4C" w:rsidRPr="009852B4" w:rsidRDefault="00440A4C" w:rsidP="00974211">
            <w:pPr>
              <w:spacing w:after="0" w:line="252" w:lineRule="auto"/>
            </w:pPr>
            <w:r>
              <w:t>Integration with other project activities</w:t>
            </w:r>
          </w:p>
        </w:tc>
      </w:tr>
      <w:tr w:rsidR="00653A35" w:rsidRPr="005E432F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Pr="00193BC8" w:rsidRDefault="00440A4C" w:rsidP="005C21CE">
            <w:pPr>
              <w:spacing w:after="0" w:line="252" w:lineRule="auto"/>
            </w:pPr>
            <w:r>
              <w:t>Availability of</w:t>
            </w:r>
            <w:r w:rsidR="00653A35" w:rsidRPr="00106FE2">
              <w:t xml:space="preserve"> </w:t>
            </w:r>
            <w:r w:rsidR="00653A35" w:rsidRPr="00106FE2">
              <w:rPr>
                <w:lang w:val="en-GB"/>
              </w:rPr>
              <w:t>existing community infrastructure</w:t>
            </w:r>
            <w:r w:rsidR="005C21CE">
              <w:rPr>
                <w:lang w:val="en-GB"/>
              </w:rPr>
              <w:t>,</w:t>
            </w:r>
            <w:r w:rsidR="00653A35" w:rsidRPr="00106FE2">
              <w:rPr>
                <w:lang w:val="en-GB"/>
              </w:rPr>
              <w:t xml:space="preserve"> such as churches, community c</w:t>
            </w:r>
            <w:r w:rsidR="000F36D8">
              <w:rPr>
                <w:lang w:val="en-GB"/>
              </w:rPr>
              <w:t>enters, clinics</w:t>
            </w:r>
            <w:r w:rsidR="005C21CE">
              <w:rPr>
                <w:lang w:val="en-GB"/>
              </w:rPr>
              <w:t>,</w:t>
            </w:r>
            <w:r w:rsidR="000F36D8">
              <w:rPr>
                <w:lang w:val="en-GB"/>
              </w:rPr>
              <w:t xml:space="preserve"> or health posts</w:t>
            </w:r>
            <w:r w:rsidR="00653A35" w:rsidRPr="00106FE2">
              <w:rPr>
                <w:lang w:val="en-GB"/>
              </w:rPr>
              <w:t xml:space="preserve"> (</w:t>
            </w:r>
            <w:r w:rsidR="005C21CE">
              <w:rPr>
                <w:lang w:val="en-GB"/>
              </w:rPr>
              <w:t>e</w:t>
            </w:r>
            <w:r w:rsidR="00653A35" w:rsidRPr="00106FE2">
              <w:rPr>
                <w:lang w:val="en-GB"/>
              </w:rPr>
              <w:t xml:space="preserve">nsure </w:t>
            </w:r>
            <w:r w:rsidR="00653A35" w:rsidRPr="00106FE2">
              <w:rPr>
                <w:rFonts w:eastAsia="Times New Roman" w:cs="Calibri"/>
              </w:rPr>
              <w:t xml:space="preserve">distribution activities can be coordinated with other community activities scheduled at these sites)  </w:t>
            </w:r>
          </w:p>
        </w:tc>
      </w:tr>
      <w:tr w:rsidR="00653A35" w:rsidRPr="005E432F" w:rsidTr="00A22A7C">
        <w:tc>
          <w:tcPr>
            <w:tcW w:w="648" w:type="dxa"/>
          </w:tcPr>
          <w:p w:rsidR="00653A35" w:rsidRPr="00653A35" w:rsidRDefault="00653A35" w:rsidP="00653A35">
            <w:pPr>
              <w:spacing w:after="0"/>
              <w:rPr>
                <w:sz w:val="28"/>
                <w:szCs w:val="28"/>
              </w:rPr>
            </w:pPr>
            <w:r w:rsidRPr="00653A35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653A35" w:rsidRDefault="00653A35" w:rsidP="00653A35">
            <w:pPr>
              <w:spacing w:after="0" w:line="252" w:lineRule="auto"/>
              <w:rPr>
                <w:rFonts w:eastAsia="Times New Roman" w:cs="Calibri"/>
              </w:rPr>
            </w:pPr>
            <w:r w:rsidRPr="00974211">
              <w:rPr>
                <w:rFonts w:eastAsia="Times New Roman" w:cs="Calibri"/>
              </w:rPr>
              <w:t xml:space="preserve">Distribution </w:t>
            </w:r>
            <w:r>
              <w:rPr>
                <w:rFonts w:eastAsia="Times New Roman" w:cs="Calibri"/>
              </w:rPr>
              <w:t>s</w:t>
            </w:r>
            <w:r w:rsidRPr="00974211">
              <w:rPr>
                <w:rFonts w:eastAsia="Times New Roman" w:cs="Calibri"/>
              </w:rPr>
              <w:t xml:space="preserve">ite </w:t>
            </w:r>
            <w:r>
              <w:rPr>
                <w:rFonts w:eastAsia="Times New Roman" w:cs="Calibri"/>
              </w:rPr>
              <w:t>s</w:t>
            </w:r>
            <w:r w:rsidRPr="00974211">
              <w:rPr>
                <w:rFonts w:eastAsia="Times New Roman" w:cs="Calibri"/>
              </w:rPr>
              <w:t>torage</w:t>
            </w:r>
            <w:r>
              <w:rPr>
                <w:rFonts w:eastAsia="Times New Roman" w:cs="Calibri"/>
              </w:rPr>
              <w:t xml:space="preserve"> (if commodity will be kept at a site) </w:t>
            </w:r>
          </w:p>
          <w:p w:rsidR="00653A35" w:rsidRPr="00440A4C" w:rsidRDefault="00653A35" w:rsidP="00440A4C">
            <w:pPr>
              <w:pStyle w:val="ListParagraph"/>
              <w:numPr>
                <w:ilvl w:val="0"/>
                <w:numId w:val="33"/>
              </w:numPr>
              <w:spacing w:before="60" w:after="60" w:line="252" w:lineRule="auto"/>
              <w:ind w:left="360"/>
              <w:contextualSpacing w:val="0"/>
              <w:rPr>
                <w:bCs/>
              </w:rPr>
            </w:pPr>
            <w:r w:rsidRPr="00440A4C">
              <w:rPr>
                <w:bCs/>
              </w:rPr>
              <w:t>The community and/or partner should be involved in storage site selection</w:t>
            </w:r>
            <w:r w:rsidR="005C21CE">
              <w:rPr>
                <w:bCs/>
              </w:rPr>
              <w:t>.</w:t>
            </w:r>
          </w:p>
          <w:p w:rsidR="00653A35" w:rsidRPr="00440A4C" w:rsidRDefault="00653A35" w:rsidP="00440A4C">
            <w:pPr>
              <w:pStyle w:val="ListParagraph"/>
              <w:numPr>
                <w:ilvl w:val="0"/>
                <w:numId w:val="33"/>
              </w:numPr>
              <w:spacing w:before="60" w:after="60" w:line="252" w:lineRule="auto"/>
              <w:ind w:left="360"/>
              <w:contextualSpacing w:val="0"/>
              <w:rPr>
                <w:rFonts w:eastAsia="Times New Roman" w:cs="Calibri"/>
              </w:rPr>
            </w:pPr>
            <w:r w:rsidRPr="00440A4C">
              <w:rPr>
                <w:rFonts w:eastAsia="Times New Roman" w:cs="Calibri"/>
              </w:rPr>
              <w:t>Training of community representatives and/or partners in basic warehouse accounting and commodity management</w:t>
            </w:r>
            <w:r w:rsidR="005C21CE">
              <w:rPr>
                <w:rFonts w:eastAsia="Times New Roman" w:cs="Calibri"/>
              </w:rPr>
              <w:t xml:space="preserve"> is</w:t>
            </w:r>
            <w:r w:rsidR="005C21CE" w:rsidRPr="00440A4C">
              <w:rPr>
                <w:rFonts w:eastAsia="Times New Roman" w:cs="Calibri"/>
              </w:rPr>
              <w:t xml:space="preserve"> usually required</w:t>
            </w:r>
            <w:r w:rsidRPr="00440A4C">
              <w:rPr>
                <w:rFonts w:eastAsia="Times New Roman" w:cs="Calibri"/>
              </w:rPr>
              <w:t>.</w:t>
            </w:r>
          </w:p>
          <w:p w:rsidR="00653A35" w:rsidRPr="00440A4C" w:rsidRDefault="00653A35" w:rsidP="00440A4C">
            <w:pPr>
              <w:pStyle w:val="ListParagraph"/>
              <w:numPr>
                <w:ilvl w:val="0"/>
                <w:numId w:val="33"/>
              </w:numPr>
              <w:spacing w:before="60" w:after="60" w:line="252" w:lineRule="auto"/>
              <w:ind w:left="360"/>
              <w:contextualSpacing w:val="0"/>
              <w:rPr>
                <w:rFonts w:eastAsia="Times New Roman" w:cs="Times New Roman"/>
              </w:rPr>
            </w:pPr>
            <w:r w:rsidRPr="00440A4C">
              <w:rPr>
                <w:rFonts w:eastAsia="Times New Roman" w:cs="Times New Roman"/>
              </w:rPr>
              <w:t>A written agreement or MOU should be signed with those involved in management of the storage facility. It should include:</w:t>
            </w:r>
          </w:p>
          <w:p w:rsidR="00653A35" w:rsidRPr="00B013F7" w:rsidRDefault="000F36D8" w:rsidP="005C21CE">
            <w:pPr>
              <w:numPr>
                <w:ilvl w:val="0"/>
                <w:numId w:val="38"/>
              </w:numPr>
              <w:spacing w:before="60" w:after="60"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653A35" w:rsidRPr="00B013F7">
              <w:rPr>
                <w:rFonts w:eastAsia="Times New Roman" w:cs="Times New Roman"/>
              </w:rPr>
              <w:t>omplete details on the roles and responsibi</w:t>
            </w:r>
            <w:r w:rsidR="00440A4C">
              <w:rPr>
                <w:rFonts w:eastAsia="Times New Roman" w:cs="Times New Roman"/>
              </w:rPr>
              <w:t>lities of all parties concerned</w:t>
            </w:r>
          </w:p>
          <w:p w:rsidR="00653A35" w:rsidRPr="00B013F7" w:rsidRDefault="000F36D8" w:rsidP="005C21CE">
            <w:pPr>
              <w:numPr>
                <w:ilvl w:val="0"/>
                <w:numId w:val="38"/>
              </w:numPr>
              <w:spacing w:before="60" w:after="60"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="00653A35" w:rsidRPr="00B013F7">
              <w:rPr>
                <w:rFonts w:eastAsia="Times New Roman" w:cs="Times New Roman"/>
              </w:rPr>
              <w:t>ames of th</w:t>
            </w:r>
            <w:r w:rsidR="00653A35">
              <w:rPr>
                <w:rFonts w:eastAsia="Times New Roman" w:cs="Times New Roman"/>
              </w:rPr>
              <w:t>e</w:t>
            </w:r>
            <w:r w:rsidR="00653A35" w:rsidRPr="00B013F7">
              <w:rPr>
                <w:rFonts w:eastAsia="Times New Roman" w:cs="Times New Roman"/>
              </w:rPr>
              <w:t xml:space="preserve"> individuals authorized to sign</w:t>
            </w:r>
            <w:r w:rsidR="00440A4C">
              <w:rPr>
                <w:rFonts w:eastAsia="Times New Roman" w:cs="Times New Roman"/>
              </w:rPr>
              <w:t xml:space="preserve"> for the receipt of commodities</w:t>
            </w:r>
          </w:p>
          <w:p w:rsidR="00653A35" w:rsidRPr="00B013F7" w:rsidRDefault="000F36D8" w:rsidP="005C21CE">
            <w:pPr>
              <w:numPr>
                <w:ilvl w:val="0"/>
                <w:numId w:val="38"/>
              </w:numPr>
              <w:spacing w:before="60" w:after="60"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="00653A35">
              <w:rPr>
                <w:rFonts w:eastAsia="Times New Roman" w:cs="Times New Roman"/>
              </w:rPr>
              <w:t>tandard</w:t>
            </w:r>
            <w:r w:rsidR="00653A35" w:rsidRPr="00B013F7">
              <w:rPr>
                <w:rFonts w:eastAsia="Times New Roman" w:cs="Times New Roman"/>
              </w:rPr>
              <w:t xml:space="preserve"> procedures for the receipt, storage, handling and accounting of all </w:t>
            </w:r>
            <w:r w:rsidR="00653A35">
              <w:rPr>
                <w:rFonts w:eastAsia="Times New Roman" w:cs="Times New Roman"/>
              </w:rPr>
              <w:t xml:space="preserve">stored </w:t>
            </w:r>
            <w:r w:rsidR="00653A35" w:rsidRPr="00B013F7">
              <w:rPr>
                <w:rFonts w:eastAsia="Times New Roman" w:cs="Times New Roman"/>
              </w:rPr>
              <w:t>commodity</w:t>
            </w:r>
          </w:p>
          <w:p w:rsidR="00653A35" w:rsidRPr="00653A35" w:rsidRDefault="000F36D8" w:rsidP="005C21CE">
            <w:pPr>
              <w:numPr>
                <w:ilvl w:val="0"/>
                <w:numId w:val="38"/>
              </w:numPr>
              <w:spacing w:before="60" w:after="60" w:line="252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="00653A35" w:rsidRPr="00B013F7">
              <w:rPr>
                <w:rFonts w:eastAsia="Times New Roman" w:cs="Times New Roman"/>
              </w:rPr>
              <w:t>ames of th</w:t>
            </w:r>
            <w:r w:rsidR="00653A35">
              <w:rPr>
                <w:rFonts w:eastAsia="Times New Roman" w:cs="Times New Roman"/>
              </w:rPr>
              <w:t>e</w:t>
            </w:r>
            <w:r w:rsidR="00653A35" w:rsidRPr="00B013F7">
              <w:rPr>
                <w:rFonts w:eastAsia="Times New Roman" w:cs="Times New Roman"/>
              </w:rPr>
              <w:t xml:space="preserve"> individuals authorized to hold keys to </w:t>
            </w:r>
            <w:r w:rsidR="00653A35">
              <w:rPr>
                <w:rFonts w:eastAsia="Times New Roman" w:cs="Times New Roman"/>
              </w:rPr>
              <w:t>the</w:t>
            </w:r>
            <w:r w:rsidR="00653A35" w:rsidRPr="00B013F7">
              <w:rPr>
                <w:rFonts w:eastAsia="Times New Roman" w:cs="Times New Roman"/>
              </w:rPr>
              <w:t xml:space="preserve"> stor</w:t>
            </w:r>
            <w:r w:rsidR="00440A4C">
              <w:rPr>
                <w:rFonts w:eastAsia="Times New Roman" w:cs="Times New Roman"/>
              </w:rPr>
              <w:t>age</w:t>
            </w:r>
          </w:p>
        </w:tc>
      </w:tr>
    </w:tbl>
    <w:p w:rsidR="00E24F77" w:rsidRDefault="00E24F77"/>
    <w:sectPr w:rsidR="00E24F77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89" w:rsidRDefault="00731689" w:rsidP="003E4F5E">
      <w:pPr>
        <w:spacing w:before="0" w:after="0"/>
      </w:pPr>
      <w:r>
        <w:separator/>
      </w:r>
    </w:p>
  </w:endnote>
  <w:endnote w:type="continuationSeparator" w:id="0">
    <w:p w:rsidR="00731689" w:rsidRDefault="00731689" w:rsidP="003E4F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10FA1" w:rsidRPr="009667D5" w:rsidRDefault="00310FA1">
            <w:pPr>
              <w:pStyle w:val="Footer"/>
              <w:jc w:val="center"/>
            </w:pPr>
            <w:r w:rsidRPr="009667D5">
              <w:t xml:space="preserve">Page </w:t>
            </w:r>
            <w:r w:rsidR="00D83B52" w:rsidRPr="009667D5">
              <w:fldChar w:fldCharType="begin"/>
            </w:r>
            <w:r w:rsidRPr="009667D5">
              <w:instrText xml:space="preserve"> PAGE </w:instrText>
            </w:r>
            <w:r w:rsidR="00D83B52" w:rsidRPr="009667D5">
              <w:fldChar w:fldCharType="separate"/>
            </w:r>
            <w:r w:rsidR="00817DD9">
              <w:rPr>
                <w:noProof/>
              </w:rPr>
              <w:t>1</w:t>
            </w:r>
            <w:r w:rsidR="00D83B52" w:rsidRPr="009667D5">
              <w:fldChar w:fldCharType="end"/>
            </w:r>
            <w:r w:rsidRPr="009667D5">
              <w:t xml:space="preserve"> of </w:t>
            </w:r>
            <w:r w:rsidR="00D83B52" w:rsidRPr="009667D5">
              <w:fldChar w:fldCharType="begin"/>
            </w:r>
            <w:r w:rsidRPr="009667D5">
              <w:instrText xml:space="preserve"> NUMPAGES  </w:instrText>
            </w:r>
            <w:r w:rsidR="00D83B52" w:rsidRPr="009667D5">
              <w:fldChar w:fldCharType="separate"/>
            </w:r>
            <w:r w:rsidR="00817DD9">
              <w:rPr>
                <w:noProof/>
              </w:rPr>
              <w:t>2</w:t>
            </w:r>
            <w:r w:rsidR="00D83B52" w:rsidRPr="009667D5">
              <w:fldChar w:fldCharType="end"/>
            </w:r>
          </w:p>
        </w:sdtContent>
      </w:sdt>
    </w:sdtContent>
  </w:sdt>
  <w:p w:rsidR="00310FA1" w:rsidRDefault="0031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89" w:rsidRDefault="00731689" w:rsidP="003E4F5E">
      <w:pPr>
        <w:spacing w:before="0" w:after="0"/>
      </w:pPr>
      <w:r>
        <w:separator/>
      </w:r>
    </w:p>
  </w:footnote>
  <w:footnote w:type="continuationSeparator" w:id="0">
    <w:p w:rsidR="00731689" w:rsidRDefault="00731689" w:rsidP="003E4F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1" w:rsidRPr="003E4F5E" w:rsidRDefault="00310FA1" w:rsidP="003E4F5E">
    <w:pPr>
      <w:pStyle w:val="Header"/>
      <w:jc w:val="center"/>
      <w:rPr>
        <w:rFonts w:ascii="Times New Roman" w:eastAsia="Times New Roman" w:hAnsi="Times New Roman"/>
        <w:sz w:val="24"/>
        <w:szCs w:val="24"/>
      </w:rPr>
    </w:pPr>
    <w:r w:rsidRPr="009667D5">
      <w:rPr>
        <w:rFonts w:eastAsia="Times New Roman"/>
        <w:b/>
        <w:bCs/>
        <w:color w:val="237990"/>
        <w:sz w:val="28"/>
        <w:szCs w:val="28"/>
      </w:rPr>
      <w:t xml:space="preserve">Distribution Site </w:t>
    </w:r>
    <w:r w:rsidR="009667D5" w:rsidRPr="009667D5">
      <w:rPr>
        <w:rFonts w:eastAsia="Times New Roman"/>
        <w:b/>
        <w:bCs/>
        <w:color w:val="237990"/>
        <w:sz w:val="28"/>
        <w:szCs w:val="28"/>
      </w:rPr>
      <w:t>Identifica</w:t>
    </w:r>
    <w:r w:rsidRPr="009667D5">
      <w:rPr>
        <w:rFonts w:eastAsia="Times New Roman"/>
        <w:b/>
        <w:bCs/>
        <w:color w:val="237990"/>
        <w:sz w:val="28"/>
        <w:szCs w:val="28"/>
      </w:rPr>
      <w:t xml:space="preserve">tion </w:t>
    </w:r>
    <w:r w:rsidR="00DA34F1" w:rsidRPr="009667D5">
      <w:rPr>
        <w:rFonts w:eastAsia="Times New Roman"/>
        <w:b/>
        <w:bCs/>
        <w:color w:val="237990"/>
        <w:sz w:val="28"/>
        <w:szCs w:val="28"/>
      </w:rPr>
      <w:t>G</w:t>
    </w:r>
    <w:r w:rsidR="000F0A31" w:rsidRPr="009667D5">
      <w:rPr>
        <w:rFonts w:eastAsia="Times New Roman"/>
        <w:b/>
        <w:bCs/>
        <w:color w:val="237990"/>
        <w:sz w:val="28"/>
        <w:szCs w:val="28"/>
      </w:rPr>
      <w:t>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804"/>
    <w:multiLevelType w:val="hybridMultilevel"/>
    <w:tmpl w:val="EC505D00"/>
    <w:lvl w:ilvl="0" w:tplc="1408BDF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901"/>
    <w:multiLevelType w:val="hybridMultilevel"/>
    <w:tmpl w:val="1D164730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832"/>
    <w:multiLevelType w:val="hybridMultilevel"/>
    <w:tmpl w:val="5EE8569E"/>
    <w:lvl w:ilvl="0" w:tplc="68C82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2D14"/>
    <w:multiLevelType w:val="hybridMultilevel"/>
    <w:tmpl w:val="0B0ABC7E"/>
    <w:lvl w:ilvl="0" w:tplc="53BCE0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92EE3A2C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A7EDA"/>
    <w:multiLevelType w:val="hybridMultilevel"/>
    <w:tmpl w:val="9D46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1C2D"/>
    <w:multiLevelType w:val="hybridMultilevel"/>
    <w:tmpl w:val="47F25C78"/>
    <w:lvl w:ilvl="0" w:tplc="3DB80F2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85B"/>
    <w:multiLevelType w:val="hybridMultilevel"/>
    <w:tmpl w:val="2B92E62C"/>
    <w:lvl w:ilvl="0" w:tplc="1D6627F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6BC3"/>
    <w:multiLevelType w:val="hybridMultilevel"/>
    <w:tmpl w:val="E54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D9B"/>
    <w:multiLevelType w:val="hybridMultilevel"/>
    <w:tmpl w:val="BF8CDD70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754"/>
    <w:multiLevelType w:val="hybridMultilevel"/>
    <w:tmpl w:val="CE8E94CE"/>
    <w:lvl w:ilvl="0" w:tplc="B79A129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86DAC"/>
    <w:multiLevelType w:val="hybridMultilevel"/>
    <w:tmpl w:val="645E035A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7DA0CBDC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48B6DB2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B12D13"/>
    <w:multiLevelType w:val="hybridMultilevel"/>
    <w:tmpl w:val="011E1322"/>
    <w:lvl w:ilvl="0" w:tplc="B79A129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C51FA"/>
    <w:multiLevelType w:val="hybridMultilevel"/>
    <w:tmpl w:val="437C7F4C"/>
    <w:lvl w:ilvl="0" w:tplc="1D2EB576">
      <w:start w:val="1"/>
      <w:numFmt w:val="bullet"/>
      <w:lvlText w:val="○"/>
      <w:lvlJc w:val="left"/>
      <w:pPr>
        <w:ind w:left="1152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B45B22"/>
    <w:multiLevelType w:val="hybridMultilevel"/>
    <w:tmpl w:val="D55CA378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569ADBA8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AF32EC"/>
    <w:multiLevelType w:val="hybridMultilevel"/>
    <w:tmpl w:val="649C0DDC"/>
    <w:lvl w:ilvl="0" w:tplc="B79A129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036E0"/>
    <w:multiLevelType w:val="hybridMultilevel"/>
    <w:tmpl w:val="D9121B84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F7066DA6">
      <w:start w:val="1"/>
      <w:numFmt w:val="bullet"/>
      <w:lvlText w:val="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60B29"/>
    <w:multiLevelType w:val="hybridMultilevel"/>
    <w:tmpl w:val="C75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92B"/>
    <w:multiLevelType w:val="hybridMultilevel"/>
    <w:tmpl w:val="9C82C218"/>
    <w:lvl w:ilvl="0" w:tplc="1D6627F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76A0"/>
    <w:multiLevelType w:val="hybridMultilevel"/>
    <w:tmpl w:val="3E6E91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E180D"/>
    <w:multiLevelType w:val="hybridMultilevel"/>
    <w:tmpl w:val="C36CBF7A"/>
    <w:lvl w:ilvl="0" w:tplc="7AA8E652">
      <w:start w:val="1"/>
      <w:numFmt w:val="bullet"/>
      <w:lvlText w:val="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25AF"/>
    <w:multiLevelType w:val="hybridMultilevel"/>
    <w:tmpl w:val="E44E1D7A"/>
    <w:lvl w:ilvl="0" w:tplc="B2586E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16C4"/>
    <w:multiLevelType w:val="hybridMultilevel"/>
    <w:tmpl w:val="0490802C"/>
    <w:lvl w:ilvl="0" w:tplc="1D6627F6">
      <w:start w:val="1"/>
      <w:numFmt w:val="bullet"/>
      <w:lvlText w:val="·"/>
      <w:lvlJc w:val="left"/>
      <w:pPr>
        <w:ind w:left="1296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45366210"/>
    <w:multiLevelType w:val="hybridMultilevel"/>
    <w:tmpl w:val="852EB710"/>
    <w:lvl w:ilvl="0" w:tplc="53BCE0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92EE3A2C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E84EC3"/>
    <w:multiLevelType w:val="hybridMultilevel"/>
    <w:tmpl w:val="8300F6C6"/>
    <w:lvl w:ilvl="0" w:tplc="241216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C86"/>
    <w:multiLevelType w:val="hybridMultilevel"/>
    <w:tmpl w:val="8708A16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50D54D32"/>
    <w:multiLevelType w:val="hybridMultilevel"/>
    <w:tmpl w:val="77322C60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57EC91C6">
      <w:start w:val="1"/>
      <w:numFmt w:val="bullet"/>
      <w:lvlText w:val="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876FE2"/>
    <w:multiLevelType w:val="hybridMultilevel"/>
    <w:tmpl w:val="050AAF5A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F37E6"/>
    <w:multiLevelType w:val="hybridMultilevel"/>
    <w:tmpl w:val="E886F3D8"/>
    <w:lvl w:ilvl="0" w:tplc="270C671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53A2"/>
    <w:multiLevelType w:val="hybridMultilevel"/>
    <w:tmpl w:val="441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235EE"/>
    <w:multiLevelType w:val="hybridMultilevel"/>
    <w:tmpl w:val="2F4A9BD0"/>
    <w:lvl w:ilvl="0" w:tplc="35429926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28"/>
        <w:szCs w:val="28"/>
      </w:rPr>
    </w:lvl>
    <w:lvl w:ilvl="1" w:tplc="D47AD98E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1781E"/>
    <w:multiLevelType w:val="hybridMultilevel"/>
    <w:tmpl w:val="D694A446"/>
    <w:lvl w:ilvl="0" w:tplc="53BCE0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3B0324"/>
    <w:multiLevelType w:val="hybridMultilevel"/>
    <w:tmpl w:val="7564E486"/>
    <w:lvl w:ilvl="0" w:tplc="DEB08116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FF2C1C"/>
    <w:multiLevelType w:val="hybridMultilevel"/>
    <w:tmpl w:val="BE788E96"/>
    <w:lvl w:ilvl="0" w:tplc="1D6627F6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3163"/>
    <w:multiLevelType w:val="hybridMultilevel"/>
    <w:tmpl w:val="CBFC3666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569ADBA8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A4466C"/>
    <w:multiLevelType w:val="hybridMultilevel"/>
    <w:tmpl w:val="D26E7BDA"/>
    <w:lvl w:ilvl="0" w:tplc="1408BDF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068B0"/>
    <w:multiLevelType w:val="hybridMultilevel"/>
    <w:tmpl w:val="EA56A878"/>
    <w:lvl w:ilvl="0" w:tplc="53BCE0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92EE3A2C">
      <w:start w:val="1"/>
      <w:numFmt w:val="bullet"/>
      <w:lvlText w:val="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512413"/>
    <w:multiLevelType w:val="hybridMultilevel"/>
    <w:tmpl w:val="606204E8"/>
    <w:lvl w:ilvl="0" w:tplc="57EC91C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57EC91C6">
      <w:start w:val="1"/>
      <w:numFmt w:val="bullet"/>
      <w:lvlText w:val="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66FE4"/>
    <w:multiLevelType w:val="hybridMultilevel"/>
    <w:tmpl w:val="96E6A442"/>
    <w:lvl w:ilvl="0" w:tplc="68C8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1D56D398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57EC91C6">
      <w:start w:val="1"/>
      <w:numFmt w:val="bullet"/>
      <w:lvlText w:val="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68C82B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9"/>
  </w:num>
  <w:num w:numId="5">
    <w:abstractNumId w:val="27"/>
  </w:num>
  <w:num w:numId="6">
    <w:abstractNumId w:val="13"/>
  </w:num>
  <w:num w:numId="7">
    <w:abstractNumId w:val="33"/>
  </w:num>
  <w:num w:numId="8">
    <w:abstractNumId w:val="5"/>
  </w:num>
  <w:num w:numId="9">
    <w:abstractNumId w:val="23"/>
  </w:num>
  <w:num w:numId="10">
    <w:abstractNumId w:val="34"/>
  </w:num>
  <w:num w:numId="11">
    <w:abstractNumId w:val="0"/>
  </w:num>
  <w:num w:numId="12">
    <w:abstractNumId w:val="31"/>
  </w:num>
  <w:num w:numId="13">
    <w:abstractNumId w:val="17"/>
  </w:num>
  <w:num w:numId="14">
    <w:abstractNumId w:val="21"/>
  </w:num>
  <w:num w:numId="15">
    <w:abstractNumId w:val="6"/>
  </w:num>
  <w:num w:numId="16">
    <w:abstractNumId w:val="30"/>
  </w:num>
  <w:num w:numId="17">
    <w:abstractNumId w:val="12"/>
  </w:num>
  <w:num w:numId="18">
    <w:abstractNumId w:val="2"/>
  </w:num>
  <w:num w:numId="19">
    <w:abstractNumId w:val="20"/>
  </w:num>
  <w:num w:numId="20">
    <w:abstractNumId w:val="3"/>
  </w:num>
  <w:num w:numId="21">
    <w:abstractNumId w:val="35"/>
  </w:num>
  <w:num w:numId="22">
    <w:abstractNumId w:val="22"/>
  </w:num>
  <w:num w:numId="23">
    <w:abstractNumId w:val="19"/>
  </w:num>
  <w:num w:numId="24">
    <w:abstractNumId w:val="8"/>
  </w:num>
  <w:num w:numId="25">
    <w:abstractNumId w:val="15"/>
  </w:num>
  <w:num w:numId="26">
    <w:abstractNumId w:val="37"/>
  </w:num>
  <w:num w:numId="27">
    <w:abstractNumId w:val="25"/>
  </w:num>
  <w:num w:numId="28">
    <w:abstractNumId w:val="36"/>
  </w:num>
  <w:num w:numId="29">
    <w:abstractNumId w:val="28"/>
  </w:num>
  <w:num w:numId="30">
    <w:abstractNumId w:val="16"/>
  </w:num>
  <w:num w:numId="31">
    <w:abstractNumId w:val="7"/>
  </w:num>
  <w:num w:numId="32">
    <w:abstractNumId w:val="26"/>
  </w:num>
  <w:num w:numId="33">
    <w:abstractNumId w:val="1"/>
  </w:num>
  <w:num w:numId="34">
    <w:abstractNumId w:val="32"/>
  </w:num>
  <w:num w:numId="35">
    <w:abstractNumId w:val="14"/>
  </w:num>
  <w:num w:numId="36">
    <w:abstractNumId w:val="11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1707C"/>
    <w:rsid w:val="00026341"/>
    <w:rsid w:val="00062001"/>
    <w:rsid w:val="00075AF4"/>
    <w:rsid w:val="000B1540"/>
    <w:rsid w:val="000B75D5"/>
    <w:rsid w:val="000D08FB"/>
    <w:rsid w:val="000D3A5F"/>
    <w:rsid w:val="000F0A31"/>
    <w:rsid w:val="000F36D8"/>
    <w:rsid w:val="001004EE"/>
    <w:rsid w:val="00106FE2"/>
    <w:rsid w:val="00165D64"/>
    <w:rsid w:val="00193BC8"/>
    <w:rsid w:val="001F5D7B"/>
    <w:rsid w:val="002243F3"/>
    <w:rsid w:val="002305AD"/>
    <w:rsid w:val="00230F56"/>
    <w:rsid w:val="00281567"/>
    <w:rsid w:val="002A4A6E"/>
    <w:rsid w:val="002E0D1A"/>
    <w:rsid w:val="00310FA1"/>
    <w:rsid w:val="003138F4"/>
    <w:rsid w:val="00341B54"/>
    <w:rsid w:val="00352DDE"/>
    <w:rsid w:val="00371343"/>
    <w:rsid w:val="00380430"/>
    <w:rsid w:val="00382D68"/>
    <w:rsid w:val="003A235D"/>
    <w:rsid w:val="003A43D5"/>
    <w:rsid w:val="003A6694"/>
    <w:rsid w:val="003B0D52"/>
    <w:rsid w:val="003E2B72"/>
    <w:rsid w:val="003E4F5E"/>
    <w:rsid w:val="0040452A"/>
    <w:rsid w:val="00404A18"/>
    <w:rsid w:val="00407BBC"/>
    <w:rsid w:val="00440A4C"/>
    <w:rsid w:val="0045367B"/>
    <w:rsid w:val="004C65E6"/>
    <w:rsid w:val="004E103B"/>
    <w:rsid w:val="005215EB"/>
    <w:rsid w:val="00552199"/>
    <w:rsid w:val="00561974"/>
    <w:rsid w:val="00564A66"/>
    <w:rsid w:val="005B721B"/>
    <w:rsid w:val="005C21CE"/>
    <w:rsid w:val="005E432F"/>
    <w:rsid w:val="005E451E"/>
    <w:rsid w:val="006258E3"/>
    <w:rsid w:val="00631C3C"/>
    <w:rsid w:val="0063653E"/>
    <w:rsid w:val="00653A35"/>
    <w:rsid w:val="00663725"/>
    <w:rsid w:val="00664678"/>
    <w:rsid w:val="00683808"/>
    <w:rsid w:val="006E4CF6"/>
    <w:rsid w:val="006F4736"/>
    <w:rsid w:val="00731689"/>
    <w:rsid w:val="007922F0"/>
    <w:rsid w:val="00793D90"/>
    <w:rsid w:val="007A1EEE"/>
    <w:rsid w:val="007A494D"/>
    <w:rsid w:val="007C33AF"/>
    <w:rsid w:val="007E67C9"/>
    <w:rsid w:val="00817DD9"/>
    <w:rsid w:val="008616B2"/>
    <w:rsid w:val="00870BDD"/>
    <w:rsid w:val="008B540F"/>
    <w:rsid w:val="00904AB1"/>
    <w:rsid w:val="00910B03"/>
    <w:rsid w:val="00917885"/>
    <w:rsid w:val="00924D74"/>
    <w:rsid w:val="00952BF6"/>
    <w:rsid w:val="009667D5"/>
    <w:rsid w:val="00974211"/>
    <w:rsid w:val="009852B4"/>
    <w:rsid w:val="00986DEF"/>
    <w:rsid w:val="00997FC7"/>
    <w:rsid w:val="009A7B59"/>
    <w:rsid w:val="009D6B42"/>
    <w:rsid w:val="009F1CA8"/>
    <w:rsid w:val="00A1592A"/>
    <w:rsid w:val="00A16626"/>
    <w:rsid w:val="00A22A7C"/>
    <w:rsid w:val="00A61817"/>
    <w:rsid w:val="00A84033"/>
    <w:rsid w:val="00AE1956"/>
    <w:rsid w:val="00B013F7"/>
    <w:rsid w:val="00B01D35"/>
    <w:rsid w:val="00B0347C"/>
    <w:rsid w:val="00B831E9"/>
    <w:rsid w:val="00BB3E8C"/>
    <w:rsid w:val="00C56859"/>
    <w:rsid w:val="00C64CCC"/>
    <w:rsid w:val="00C72181"/>
    <w:rsid w:val="00CA502F"/>
    <w:rsid w:val="00CC693D"/>
    <w:rsid w:val="00D36CBB"/>
    <w:rsid w:val="00D83B52"/>
    <w:rsid w:val="00DA34F1"/>
    <w:rsid w:val="00DC43D1"/>
    <w:rsid w:val="00DF74DA"/>
    <w:rsid w:val="00E07031"/>
    <w:rsid w:val="00E24F77"/>
    <w:rsid w:val="00F47053"/>
    <w:rsid w:val="00F6353B"/>
    <w:rsid w:val="00FE001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7581b,#e9cf9f,#bcc589"/>
    </o:shapedefaults>
    <o:shapelayout v:ext="edit">
      <o:idmap v:ext="edit" data="1"/>
    </o:shapelayout>
  </w:shapeDefaults>
  <w:decimalSymbol w:val="."/>
  <w:listSeparator w:val=","/>
  <w14:docId w14:val="43CAA421"/>
  <w15:docId w15:val="{898031BC-B72D-45CF-A842-1F7747F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5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4F5E"/>
  </w:style>
  <w:style w:type="paragraph" w:styleId="Footer">
    <w:name w:val="footer"/>
    <w:basedOn w:val="Normal"/>
    <w:link w:val="FooterChar"/>
    <w:uiPriority w:val="99"/>
    <w:unhideWhenUsed/>
    <w:rsid w:val="003E4F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4F5E"/>
  </w:style>
  <w:style w:type="paragraph" w:styleId="BalloonText">
    <w:name w:val="Balloon Text"/>
    <w:basedOn w:val="Normal"/>
    <w:link w:val="BalloonTextChar"/>
    <w:uiPriority w:val="99"/>
    <w:semiHidden/>
    <w:unhideWhenUsed/>
    <w:rsid w:val="003E4F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1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2016-06-04T12:13:00Z</cp:lastPrinted>
  <dcterms:created xsi:type="dcterms:W3CDTF">2017-03-14T12:24:00Z</dcterms:created>
  <dcterms:modified xsi:type="dcterms:W3CDTF">2017-03-14T12:25:00Z</dcterms:modified>
</cp:coreProperties>
</file>