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51" w:rsidRPr="009147FB" w:rsidRDefault="00A32751" w:rsidP="006478E0">
      <w:pPr>
        <w:autoSpaceDE w:val="0"/>
        <w:autoSpaceDN w:val="0"/>
        <w:adjustRightInd w:val="0"/>
        <w:spacing w:after="200" w:line="252" w:lineRule="auto"/>
        <w:rPr>
          <w:rFonts w:asciiTheme="minorHAnsi" w:hAnsiTheme="minorHAnsi" w:cs="Arial"/>
          <w:sz w:val="22"/>
          <w:szCs w:val="22"/>
          <w:lang w:val="fr-FR"/>
        </w:rPr>
      </w:pPr>
      <w:r w:rsidRPr="009147FB">
        <w:rPr>
          <w:rFonts w:asciiTheme="minorHAnsi" w:hAnsiTheme="minorHAnsi" w:cs="Arial"/>
          <w:sz w:val="22"/>
          <w:szCs w:val="22"/>
          <w:lang w:val="fr-FR"/>
        </w:rPr>
        <w:t>Vérifie</w:t>
      </w:r>
      <w:r w:rsidR="0028079B" w:rsidRPr="009147FB">
        <w:rPr>
          <w:rFonts w:asciiTheme="minorHAnsi" w:hAnsiTheme="minorHAnsi" w:cs="Arial"/>
          <w:sz w:val="22"/>
          <w:szCs w:val="22"/>
          <w:lang w:val="fr-FR"/>
        </w:rPr>
        <w:t xml:space="preserve">r </w:t>
      </w:r>
      <w:r w:rsidRPr="009147FB">
        <w:rPr>
          <w:rFonts w:asciiTheme="minorHAnsi" w:hAnsiTheme="minorHAnsi" w:cs="Arial"/>
          <w:sz w:val="22"/>
          <w:szCs w:val="22"/>
          <w:lang w:val="fr-FR"/>
        </w:rPr>
        <w:t xml:space="preserve"> le dernier modèle de budget proposé par le FFP, regroupé par </w:t>
      </w:r>
      <w:r w:rsidR="00CC634B" w:rsidRPr="009147FB">
        <w:rPr>
          <w:rFonts w:asciiTheme="minorHAnsi" w:hAnsiTheme="minorHAnsi" w:cs="Arial"/>
          <w:sz w:val="22"/>
          <w:szCs w:val="22"/>
          <w:lang w:val="fr-FR"/>
        </w:rPr>
        <w:t>composantes du</w:t>
      </w:r>
      <w:r w:rsidRPr="009147FB">
        <w:rPr>
          <w:rFonts w:asciiTheme="minorHAnsi" w:hAnsiTheme="minorHAnsi" w:cs="Arial"/>
          <w:sz w:val="22"/>
          <w:szCs w:val="22"/>
          <w:lang w:val="fr-FR"/>
        </w:rPr>
        <w:t xml:space="preserve"> programme et </w:t>
      </w:r>
      <w:r w:rsidR="00CC634B" w:rsidRPr="009147FB">
        <w:rPr>
          <w:rFonts w:asciiTheme="minorHAnsi" w:hAnsiTheme="minorHAnsi" w:cs="Arial"/>
          <w:sz w:val="22"/>
          <w:szCs w:val="22"/>
          <w:lang w:val="fr-FR"/>
        </w:rPr>
        <w:t>ventil</w:t>
      </w:r>
      <w:r w:rsidRPr="009147FB">
        <w:rPr>
          <w:rFonts w:asciiTheme="minorHAnsi" w:hAnsiTheme="minorHAnsi" w:cs="Arial"/>
          <w:sz w:val="22"/>
          <w:szCs w:val="22"/>
          <w:lang w:val="fr-FR"/>
        </w:rPr>
        <w:t xml:space="preserve">é par </w:t>
      </w:r>
      <w:r w:rsidR="009147FB" w:rsidRPr="009147FB">
        <w:rPr>
          <w:rFonts w:asciiTheme="minorHAnsi" w:hAnsiTheme="minorHAnsi" w:cs="Arial"/>
          <w:sz w:val="22"/>
          <w:szCs w:val="22"/>
          <w:lang w:val="fr-FR"/>
        </w:rPr>
        <w:t>dépense</w:t>
      </w:r>
      <w:r w:rsidRPr="009147FB">
        <w:rPr>
          <w:rFonts w:asciiTheme="minorHAnsi" w:hAnsiTheme="minorHAnsi" w:cs="Arial"/>
          <w:sz w:val="22"/>
          <w:szCs w:val="22"/>
          <w:lang w:val="fr-FR"/>
        </w:rPr>
        <w:t xml:space="preserve"> individuel</w:t>
      </w:r>
      <w:r w:rsidR="00CC634B" w:rsidRPr="009147FB">
        <w:rPr>
          <w:rFonts w:asciiTheme="minorHAnsi" w:hAnsiTheme="minorHAnsi" w:cs="Arial"/>
          <w:sz w:val="22"/>
          <w:szCs w:val="22"/>
          <w:lang w:val="fr-FR"/>
        </w:rPr>
        <w:t>le</w:t>
      </w:r>
      <w:r w:rsidRPr="009147FB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CC634B" w:rsidRPr="009147FB">
        <w:rPr>
          <w:rFonts w:asciiTheme="minorHAnsi" w:hAnsiTheme="minorHAnsi" w:cs="Arial"/>
          <w:sz w:val="22"/>
          <w:szCs w:val="22"/>
          <w:lang w:val="fr-FR"/>
        </w:rPr>
        <w:t>propos</w:t>
      </w:r>
      <w:r w:rsidRPr="009147FB">
        <w:rPr>
          <w:rFonts w:asciiTheme="minorHAnsi" w:hAnsiTheme="minorHAnsi" w:cs="Arial"/>
          <w:sz w:val="22"/>
          <w:szCs w:val="22"/>
          <w:lang w:val="fr-FR"/>
        </w:rPr>
        <w:t>é</w:t>
      </w:r>
      <w:r w:rsidR="00CC634B" w:rsidRPr="009147FB">
        <w:rPr>
          <w:rFonts w:asciiTheme="minorHAnsi" w:hAnsiTheme="minorHAnsi" w:cs="Arial"/>
          <w:sz w:val="22"/>
          <w:szCs w:val="22"/>
          <w:lang w:val="fr-FR"/>
        </w:rPr>
        <w:t>e</w:t>
      </w:r>
      <w:r w:rsidRPr="009147FB">
        <w:rPr>
          <w:rFonts w:asciiTheme="minorHAnsi" w:hAnsiTheme="minorHAnsi" w:cs="Arial"/>
          <w:sz w:val="22"/>
          <w:szCs w:val="22"/>
          <w:lang w:val="fr-FR"/>
        </w:rPr>
        <w:t xml:space="preserve">. Par exemple, </w:t>
      </w:r>
      <w:r w:rsidR="00CC634B" w:rsidRPr="009147FB">
        <w:rPr>
          <w:rFonts w:asciiTheme="minorHAnsi" w:hAnsiTheme="minorHAnsi" w:cs="Arial"/>
          <w:sz w:val="22"/>
          <w:szCs w:val="22"/>
          <w:lang w:val="fr-FR"/>
        </w:rPr>
        <w:t xml:space="preserve">se </w:t>
      </w:r>
      <w:r w:rsidR="009147FB" w:rsidRPr="009147FB">
        <w:rPr>
          <w:rFonts w:asciiTheme="minorHAnsi" w:hAnsiTheme="minorHAnsi" w:cs="Arial"/>
          <w:sz w:val="22"/>
          <w:szCs w:val="22"/>
          <w:lang w:val="fr-FR"/>
        </w:rPr>
        <w:t>référer</w:t>
      </w:r>
      <w:r w:rsidR="00CC634B" w:rsidRPr="009147FB">
        <w:rPr>
          <w:rFonts w:asciiTheme="minorHAnsi" w:hAnsiTheme="minorHAnsi" w:cs="Arial"/>
          <w:sz w:val="22"/>
          <w:szCs w:val="22"/>
          <w:lang w:val="fr-FR"/>
        </w:rPr>
        <w:t xml:space="preserve"> au </w:t>
      </w:r>
      <w:r w:rsidRPr="009147FB">
        <w:rPr>
          <w:rFonts w:asciiTheme="minorHAnsi" w:hAnsiTheme="minorHAnsi" w:cs="Arial"/>
          <w:sz w:val="22"/>
          <w:szCs w:val="22"/>
          <w:lang w:val="fr-FR"/>
        </w:rPr>
        <w:t>modèle de budget actuel FY RFA (format Excel).</w:t>
      </w:r>
    </w:p>
    <w:p w:rsidR="00BB45D4" w:rsidRPr="009147FB" w:rsidRDefault="00A32751" w:rsidP="006478E0">
      <w:pPr>
        <w:autoSpaceDE w:val="0"/>
        <w:autoSpaceDN w:val="0"/>
        <w:adjustRightInd w:val="0"/>
        <w:spacing w:after="200" w:line="252" w:lineRule="auto"/>
        <w:rPr>
          <w:rStyle w:val="Hyperlink"/>
          <w:rFonts w:asciiTheme="minorHAnsi" w:hAnsiTheme="minorHAnsi" w:cs="Arial"/>
          <w:color w:val="237990"/>
          <w:sz w:val="22"/>
          <w:szCs w:val="22"/>
          <w:lang w:val="fr-FR"/>
        </w:rPr>
      </w:pPr>
      <w:r w:rsidRPr="009147FB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Dans les budgets détaillés, tous les coûts doivent être associés à une source de financement applicable. Examiner et suivre la version la plus récente du bulletin d'information sur les utilisations admissibles </w:t>
      </w:r>
      <w:r w:rsidR="00CC634B" w:rsidRPr="009147FB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des fonds </w:t>
      </w:r>
      <w:r w:rsidR="009443CE">
        <w:rPr>
          <w:rFonts w:asciiTheme="minorHAnsi" w:eastAsiaTheme="minorHAnsi" w:hAnsiTheme="minorHAnsi" w:cstheme="minorBidi"/>
          <w:sz w:val="22"/>
          <w:szCs w:val="22"/>
          <w:lang w:val="fr-FR"/>
        </w:rPr>
        <w:t>prévus à</w:t>
      </w:r>
      <w:r w:rsidRPr="009147FB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l'article 202 (e) et </w:t>
      </w:r>
      <w:r w:rsidR="00CC634B" w:rsidRPr="009147FB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des fonds </w:t>
      </w:r>
      <w:r w:rsidRPr="009147FB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ITSH </w:t>
      </w:r>
      <w:r w:rsidR="00CC634B" w:rsidRPr="009147FB">
        <w:rPr>
          <w:rFonts w:asciiTheme="minorHAnsi" w:eastAsiaTheme="minorHAnsi" w:hAnsiTheme="minorHAnsi" w:cstheme="minorBidi"/>
          <w:sz w:val="22"/>
          <w:szCs w:val="22"/>
          <w:lang w:val="fr-FR"/>
        </w:rPr>
        <w:t>accessibles sur</w:t>
      </w:r>
      <w:r w:rsidRPr="009147FB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 le site Web du FFP</w:t>
      </w:r>
      <w:r w:rsidR="00953564" w:rsidRPr="009147FB">
        <w:rPr>
          <w:rFonts w:asciiTheme="minorHAnsi" w:eastAsiaTheme="minorHAnsi" w:hAnsiTheme="minorHAnsi" w:cstheme="minorBidi"/>
          <w:sz w:val="22"/>
          <w:szCs w:val="22"/>
          <w:lang w:val="fr-FR"/>
        </w:rPr>
        <w:t>:</w:t>
      </w:r>
      <w:r w:rsidR="00BB45D4" w:rsidRPr="009147FB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hyperlink r:id="rId7" w:history="1">
        <w:r w:rsidR="00BB45D4" w:rsidRPr="009147FB">
          <w:rPr>
            <w:rStyle w:val="Hyperlink"/>
            <w:rFonts w:asciiTheme="minorHAnsi" w:hAnsiTheme="minorHAnsi" w:cs="Arial"/>
            <w:color w:val="237990"/>
            <w:sz w:val="22"/>
            <w:szCs w:val="22"/>
            <w:lang w:val="fr-FR"/>
          </w:rPr>
          <w:t>https://www.usaid.gov/what-we-do/agriculture-and-food-security/food-assistance/guidance/food-peace-information-bulletins</w:t>
        </w:r>
      </w:hyperlink>
    </w:p>
    <w:p w:rsidR="00C3594C" w:rsidRPr="009147FB" w:rsidRDefault="00A32751" w:rsidP="006478E0">
      <w:pPr>
        <w:spacing w:after="200" w:line="252" w:lineRule="auto"/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fr-FR"/>
        </w:rPr>
      </w:pPr>
      <w:r w:rsidRPr="009147FB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fr-FR"/>
        </w:rPr>
        <w:t xml:space="preserve">Pour faciliter l'approbation de l'USAID, inclure </w:t>
      </w:r>
      <w:r w:rsidR="00CC634B" w:rsidRPr="009147FB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fr-FR"/>
        </w:rPr>
        <w:t>les</w:t>
      </w:r>
      <w:r w:rsidRPr="009147FB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fr-FR"/>
        </w:rPr>
        <w:t xml:space="preserve"> équipement</w:t>
      </w:r>
      <w:r w:rsidR="00CC634B" w:rsidRPr="009147FB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fr-FR"/>
        </w:rPr>
        <w:t xml:space="preserve">s dont la valeur est estimée à plus de </w:t>
      </w:r>
      <w:r w:rsidRPr="009147FB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fr-FR"/>
        </w:rPr>
        <w:t xml:space="preserve">1 000 dollars (avec une durée de </w:t>
      </w:r>
      <w:r w:rsidR="009443CE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fr-FR"/>
        </w:rPr>
        <w:t>vie</w:t>
      </w:r>
      <w:r w:rsidRPr="009147FB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fr-FR"/>
        </w:rPr>
        <w:t xml:space="preserve"> supérieure à un an) dans un plan d'achat</w:t>
      </w:r>
      <w:r w:rsidR="00C3594C" w:rsidRPr="009147FB">
        <w:rPr>
          <w:rStyle w:val="Hyperlink"/>
          <w:rFonts w:asciiTheme="minorHAnsi" w:hAnsiTheme="minorHAnsi" w:cs="Arial"/>
          <w:color w:val="auto"/>
          <w:sz w:val="22"/>
          <w:szCs w:val="22"/>
          <w:u w:val="none"/>
          <w:lang w:val="fr-FR"/>
        </w:rPr>
        <w:t>.</w:t>
      </w:r>
    </w:p>
    <w:p w:rsidR="00013F72" w:rsidRPr="009147FB" w:rsidRDefault="00CC634B" w:rsidP="006478E0">
      <w:pPr>
        <w:autoSpaceDE w:val="0"/>
        <w:autoSpaceDN w:val="0"/>
        <w:adjustRightInd w:val="0"/>
        <w:spacing w:after="200" w:line="252" w:lineRule="auto"/>
        <w:rPr>
          <w:rFonts w:asciiTheme="minorHAnsi" w:hAnsiTheme="minorHAnsi" w:cs="Arial"/>
          <w:bCs/>
          <w:sz w:val="22"/>
          <w:szCs w:val="22"/>
          <w:lang w:val="fr-FR"/>
        </w:rPr>
      </w:pPr>
      <w:r w:rsidRPr="009147FB">
        <w:rPr>
          <w:rFonts w:asciiTheme="minorHAnsi" w:hAnsiTheme="minorHAnsi" w:cs="Arial"/>
          <w:b/>
          <w:bCs/>
          <w:sz w:val="22"/>
          <w:szCs w:val="22"/>
          <w:lang w:val="fr-FR"/>
        </w:rPr>
        <w:t>Narratif :</w:t>
      </w:r>
      <w:r w:rsidR="00A32751" w:rsidRPr="009147FB">
        <w:rPr>
          <w:rFonts w:asciiTheme="minorHAnsi" w:hAnsiTheme="minorHAnsi" w:cs="Arial"/>
          <w:b/>
          <w:bCs/>
          <w:sz w:val="22"/>
          <w:szCs w:val="22"/>
          <w:lang w:val="fr-FR"/>
        </w:rPr>
        <w:t xml:space="preserve"> </w:t>
      </w:r>
      <w:r w:rsidR="00A32751" w:rsidRPr="009147FB">
        <w:rPr>
          <w:rFonts w:asciiTheme="minorHAnsi" w:hAnsiTheme="minorHAnsi" w:cs="Arial"/>
          <w:bCs/>
          <w:sz w:val="22"/>
          <w:szCs w:val="22"/>
          <w:lang w:val="fr-FR"/>
        </w:rPr>
        <w:t>Indique</w:t>
      </w:r>
      <w:r w:rsidR="00384B2D" w:rsidRPr="009147FB">
        <w:rPr>
          <w:rFonts w:asciiTheme="minorHAnsi" w:hAnsiTheme="minorHAnsi" w:cs="Arial"/>
          <w:bCs/>
          <w:sz w:val="22"/>
          <w:szCs w:val="22"/>
          <w:lang w:val="fr-FR"/>
        </w:rPr>
        <w:t xml:space="preserve">r </w:t>
      </w:r>
      <w:r w:rsidR="00A32751" w:rsidRPr="009147FB">
        <w:rPr>
          <w:rFonts w:asciiTheme="minorHAnsi" w:hAnsiTheme="minorHAnsi" w:cs="Arial"/>
          <w:bCs/>
          <w:sz w:val="22"/>
          <w:szCs w:val="22"/>
          <w:lang w:val="fr-FR"/>
        </w:rPr>
        <w:t xml:space="preserve"> le nombre total d'unités nécessaires, justifie</w:t>
      </w:r>
      <w:r w:rsidR="00384B2D" w:rsidRPr="009147FB">
        <w:rPr>
          <w:rFonts w:asciiTheme="minorHAnsi" w:hAnsiTheme="minorHAnsi" w:cs="Arial"/>
          <w:bCs/>
          <w:sz w:val="22"/>
          <w:szCs w:val="22"/>
          <w:lang w:val="fr-FR"/>
        </w:rPr>
        <w:t xml:space="preserve">r </w:t>
      </w:r>
      <w:r w:rsidR="00A32751" w:rsidRPr="009147FB">
        <w:rPr>
          <w:rFonts w:asciiTheme="minorHAnsi" w:hAnsiTheme="minorHAnsi" w:cs="Arial"/>
          <w:bCs/>
          <w:sz w:val="22"/>
          <w:szCs w:val="22"/>
          <w:lang w:val="fr-FR"/>
        </w:rPr>
        <w:t xml:space="preserve"> les coûts proposés et explique</w:t>
      </w:r>
      <w:r w:rsidR="00384B2D" w:rsidRPr="009147FB">
        <w:rPr>
          <w:rFonts w:asciiTheme="minorHAnsi" w:hAnsiTheme="minorHAnsi" w:cs="Arial"/>
          <w:bCs/>
          <w:sz w:val="22"/>
          <w:szCs w:val="22"/>
          <w:lang w:val="fr-FR"/>
        </w:rPr>
        <w:t xml:space="preserve">r </w:t>
      </w:r>
      <w:r w:rsidR="00A32751" w:rsidRPr="009147FB">
        <w:rPr>
          <w:rFonts w:asciiTheme="minorHAnsi" w:hAnsiTheme="minorHAnsi" w:cs="Arial"/>
          <w:bCs/>
          <w:sz w:val="22"/>
          <w:szCs w:val="22"/>
          <w:lang w:val="fr-FR"/>
        </w:rPr>
        <w:t xml:space="preserve"> comment les coûts ont été estimés (par exemple, la méthodologie et les hypothèses utilisées pour déterminer le coût par unité)</w:t>
      </w:r>
      <w:r w:rsidR="00013F72" w:rsidRPr="009147FB">
        <w:rPr>
          <w:rFonts w:asciiTheme="minorHAnsi" w:hAnsiTheme="minorHAnsi" w:cs="Arial"/>
          <w:bCs/>
          <w:sz w:val="22"/>
          <w:szCs w:val="22"/>
          <w:lang w:val="fr-FR"/>
        </w:rPr>
        <w:t xml:space="preserve">. </w:t>
      </w:r>
    </w:p>
    <w:p w:rsidR="006478E0" w:rsidRPr="009147FB" w:rsidRDefault="006478E0" w:rsidP="006478E0">
      <w:pPr>
        <w:autoSpaceDE w:val="0"/>
        <w:autoSpaceDN w:val="0"/>
        <w:adjustRightInd w:val="0"/>
        <w:spacing w:after="200" w:line="252" w:lineRule="auto"/>
        <w:rPr>
          <w:rFonts w:asciiTheme="minorHAnsi" w:hAnsiTheme="minorHAnsi" w:cs="Arial"/>
          <w:bCs/>
          <w:sz w:val="22"/>
          <w:szCs w:val="22"/>
          <w:lang w:val="fr-FR"/>
        </w:rPr>
      </w:pPr>
    </w:p>
    <w:tbl>
      <w:tblPr>
        <w:tblW w:w="13608" w:type="dxa"/>
        <w:tblLayout w:type="fixed"/>
        <w:tblLook w:val="04A0" w:firstRow="1" w:lastRow="0" w:firstColumn="1" w:lastColumn="0" w:noHBand="0" w:noVBand="1"/>
      </w:tblPr>
      <w:tblGrid>
        <w:gridCol w:w="236"/>
        <w:gridCol w:w="10294"/>
        <w:gridCol w:w="900"/>
        <w:gridCol w:w="1009"/>
        <w:gridCol w:w="1169"/>
      </w:tblGrid>
      <w:tr w:rsidR="00D16709" w:rsidRPr="009147FB" w:rsidTr="00954A8D">
        <w:trPr>
          <w:tblHeader/>
        </w:trPr>
        <w:tc>
          <w:tcPr>
            <w:tcW w:w="236" w:type="dxa"/>
          </w:tcPr>
          <w:p w:rsidR="00BB45D4" w:rsidRPr="009147FB" w:rsidRDefault="00BB45D4" w:rsidP="007E0B0F">
            <w:pPr>
              <w:spacing w:after="60"/>
              <w:jc w:val="center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</w:tcPr>
          <w:p w:rsidR="00BB45D4" w:rsidRPr="009147FB" w:rsidRDefault="00BB45D4" w:rsidP="007E0B0F">
            <w:pPr>
              <w:pStyle w:val="Default"/>
              <w:spacing w:after="60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900" w:type="dxa"/>
            <w:shd w:val="clear" w:color="auto" w:fill="7C8029"/>
            <w:vAlign w:val="center"/>
          </w:tcPr>
          <w:p w:rsidR="00BB45D4" w:rsidRPr="009147FB" w:rsidRDefault="00A32751" w:rsidP="001C7A3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fr-FR"/>
              </w:rPr>
            </w:pPr>
            <w:r w:rsidRPr="009147F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fr-FR"/>
              </w:rPr>
              <w:t>Type d'unité</w:t>
            </w:r>
          </w:p>
        </w:tc>
        <w:tc>
          <w:tcPr>
            <w:tcW w:w="1009" w:type="dxa"/>
            <w:shd w:val="clear" w:color="auto" w:fill="7C8029"/>
            <w:vAlign w:val="center"/>
          </w:tcPr>
          <w:p w:rsidR="00BB45D4" w:rsidRPr="009147FB" w:rsidRDefault="00A32751" w:rsidP="00F16872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fr-FR"/>
              </w:rPr>
            </w:pPr>
            <w:r w:rsidRPr="009147F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fr-FR"/>
              </w:rPr>
              <w:t xml:space="preserve">Coût </w:t>
            </w:r>
            <w:r w:rsidR="00F16872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fr-FR"/>
              </w:rPr>
              <w:t>unitaire</w:t>
            </w:r>
          </w:p>
        </w:tc>
        <w:tc>
          <w:tcPr>
            <w:tcW w:w="1169" w:type="dxa"/>
            <w:shd w:val="clear" w:color="auto" w:fill="7C8029"/>
            <w:vAlign w:val="center"/>
          </w:tcPr>
          <w:p w:rsidR="00BB45D4" w:rsidRPr="009147FB" w:rsidRDefault="00954A8D" w:rsidP="00954A8D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lang w:val="fr-FR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  <w:lang w:val="fr-FR"/>
              </w:rPr>
              <w:t>Narratif</w:t>
            </w:r>
          </w:p>
        </w:tc>
      </w:tr>
      <w:tr w:rsidR="00D16709" w:rsidRPr="009147FB" w:rsidTr="00954A8D">
        <w:trPr>
          <w:trHeight w:val="432"/>
        </w:trPr>
        <w:tc>
          <w:tcPr>
            <w:tcW w:w="10530" w:type="dxa"/>
            <w:gridSpan w:val="2"/>
            <w:shd w:val="clear" w:color="auto" w:fill="BCC589"/>
            <w:vAlign w:val="center"/>
          </w:tcPr>
          <w:p w:rsidR="00D52A77" w:rsidRPr="009147FB" w:rsidRDefault="00A32751" w:rsidP="00FE1760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9147FB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SALAIRES et AVANTAGES</w:t>
            </w:r>
          </w:p>
        </w:tc>
        <w:tc>
          <w:tcPr>
            <w:tcW w:w="900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00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16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10530" w:type="dxa"/>
            <w:gridSpan w:val="2"/>
            <w:vAlign w:val="center"/>
          </w:tcPr>
          <w:p w:rsidR="00095C9F" w:rsidRPr="009147FB" w:rsidRDefault="00A32751" w:rsidP="00F5100D">
            <w:pPr>
              <w:rPr>
                <w:rFonts w:asciiTheme="minorHAnsi" w:hAnsiTheme="minorHAnsi"/>
                <w:lang w:val="fr-FR"/>
              </w:rPr>
            </w:pPr>
            <w:r w:rsidRP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Personnel de transport et d'entrepôt</w:t>
            </w:r>
          </w:p>
        </w:tc>
        <w:tc>
          <w:tcPr>
            <w:tcW w:w="900" w:type="dxa"/>
            <w:tcBorders>
              <w:bottom w:val="single" w:sz="8" w:space="0" w:color="7C8029"/>
            </w:tcBorders>
            <w:vAlign w:val="center"/>
          </w:tcPr>
          <w:p w:rsidR="00095C9F" w:rsidRPr="009147FB" w:rsidRDefault="00095C9F" w:rsidP="00F5100D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009" w:type="dxa"/>
            <w:tcBorders>
              <w:bottom w:val="single" w:sz="8" w:space="0" w:color="7C8029"/>
            </w:tcBorders>
            <w:vAlign w:val="center"/>
          </w:tcPr>
          <w:p w:rsidR="00095C9F" w:rsidRPr="009147FB" w:rsidRDefault="00095C9F" w:rsidP="00F5100D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169" w:type="dxa"/>
            <w:tcBorders>
              <w:bottom w:val="single" w:sz="8" w:space="0" w:color="7C8029"/>
            </w:tcBorders>
            <w:vAlign w:val="center"/>
          </w:tcPr>
          <w:p w:rsidR="00095C9F" w:rsidRPr="009147FB" w:rsidRDefault="00095C9F" w:rsidP="00F5100D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</w:tr>
      <w:tr w:rsidR="00D16709" w:rsidRPr="009443CE" w:rsidTr="00954A8D">
        <w:trPr>
          <w:trHeight w:val="94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32183A" w:rsidP="009147FB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Personnes spécifiquement </w:t>
            </w:r>
            <w:r w:rsidR="009147FB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concernées</w:t>
            </w:r>
            <w:r w:rsidR="000B3DD7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par</w:t>
            </w:r>
            <w:r w:rsidR="00CC634B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les a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ctivités de transport et d'entreposage, quelle que soit la quantité projetée de vivres (agent de port, gestionnaire des vivres, </w:t>
            </w:r>
            <w:r w:rsidR="00CC634B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chef d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'entrepôt, </w:t>
            </w:r>
            <w:r w:rsidR="000B3DD7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personnes </w:t>
            </w:r>
            <w:r w:rsidR="009147FB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concernées</w:t>
            </w:r>
            <w:r w:rsidR="000B3DD7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par 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la production de rapports et la comptabil</w:t>
            </w:r>
            <w:r w:rsidR="000B3DD7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isation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des vivres)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700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38437D" w:rsidP="009147FB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Pe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rsonnes impliquées dans le transport</w:t>
            </w:r>
            <w:r w:rsidR="00D833BF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,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le stockage et la manutention </w:t>
            </w:r>
            <w:r w:rsidR="00D833BF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directs 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des vivres, mais dont</w:t>
            </w:r>
            <w:r w:rsidR="0032183A" w:rsidRPr="009147FB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 </w:t>
            </w:r>
            <w:r w:rsidR="00D833BF" w:rsidRPr="009147FB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les effectifs </w:t>
            </w:r>
            <w:r w:rsidR="00D833BF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sont 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directement lié</w:t>
            </w:r>
            <w:r w:rsidR="00D833BF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s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à la quantité de vivres  (assistants d'entrepôt et commis de comptage)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340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38437D" w:rsidP="00F1687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P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ersonnes impliquées dans le nettoyage des </w:t>
            </w:r>
            <w:r w:rsidR="00F16872">
              <w:rPr>
                <w:rFonts w:asciiTheme="minorHAnsi" w:hAnsiTheme="minorHAnsi" w:cs="Arial"/>
                <w:sz w:val="20"/>
                <w:szCs w:val="20"/>
                <w:lang w:val="fr-FR"/>
              </w:rPr>
              <w:t>entrepôts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38437D" w:rsidP="00F1687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P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ersonnes impliquées dans la garde des </w:t>
            </w:r>
            <w:r w:rsidR="00F16872">
              <w:rPr>
                <w:rFonts w:asciiTheme="minorHAnsi" w:hAnsiTheme="minorHAnsi" w:cs="Arial"/>
                <w:sz w:val="20"/>
                <w:szCs w:val="20"/>
                <w:lang w:val="fr-FR"/>
              </w:rPr>
              <w:t>entreponts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10530" w:type="dxa"/>
            <w:gridSpan w:val="2"/>
            <w:vAlign w:val="center"/>
          </w:tcPr>
          <w:p w:rsidR="00095C9F" w:rsidRPr="009147FB" w:rsidRDefault="0032183A" w:rsidP="00F90C69">
            <w:pPr>
              <w:rPr>
                <w:rFonts w:asciiTheme="minorHAnsi" w:hAnsiTheme="minorHAnsi"/>
                <w:lang w:val="fr-FR"/>
              </w:rPr>
            </w:pPr>
            <w:r w:rsidRP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Personnel de distribution et de supervision</w:t>
            </w:r>
          </w:p>
        </w:tc>
        <w:tc>
          <w:tcPr>
            <w:tcW w:w="90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9147FB" w:rsidRDefault="00095C9F" w:rsidP="00F5100D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9147FB" w:rsidRDefault="00095C9F" w:rsidP="00F5100D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9147FB" w:rsidRDefault="00095C9F" w:rsidP="00F5100D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</w:tr>
      <w:tr w:rsidR="00D16709" w:rsidRPr="009443CE" w:rsidTr="00954A8D">
        <w:trPr>
          <w:trHeight w:val="576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D833BF" w:rsidP="009147FB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Personnes 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spécifiquement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concern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é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e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s 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par</w:t>
            </w:r>
            <w:r w:rsidR="0038437D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les 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activités de distribution, quelle que soit la quantité projetée de vivres distribués (responsable de la distribution)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576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D833BF" w:rsidP="009147FB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Personnes 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spécifiquement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concernées par </w:t>
            </w:r>
            <w:r w:rsidR="0038437D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les 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activités de distribution, mais dont les effectifs sont </w:t>
            </w:r>
            <w:r w:rsidR="0032183A" w:rsidRPr="009147FB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directement liés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à la quantité de vivres distribués (assistants de distribution et chauffeurs)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576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D833BF" w:rsidP="009147FB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Personnes 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spécifiquement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concern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é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es par les 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activités de supervision, quelle que soit la quantité prévue de vivres distribués (superviseur de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s activités de </w:t>
            </w:r>
            <w:r w:rsidR="009147FB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contrôle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576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D833BF" w:rsidP="009147FB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Personnes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spécifiquement 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concernées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r w:rsidR="00F16872">
              <w:rPr>
                <w:rFonts w:asciiTheme="minorHAnsi" w:hAnsiTheme="minorHAnsi" w:cs="Arial"/>
                <w:sz w:val="20"/>
                <w:szCs w:val="20"/>
                <w:lang w:val="fr-FR"/>
              </w:rPr>
              <w:t>par</w:t>
            </w:r>
            <w:r w:rsidR="0038437D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les </w:t>
            </w:r>
            <w:r w:rsidR="00F16872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activités de supervision 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mais dont les 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effectifs 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sont </w:t>
            </w:r>
            <w:r w:rsidR="0032183A" w:rsidRPr="009147FB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directement liés</w:t>
            </w:r>
            <w:r w:rsidR="003218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à la quantité de vivres distribués (moniteurs de distribution)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32"/>
        </w:trPr>
        <w:tc>
          <w:tcPr>
            <w:tcW w:w="10530" w:type="dxa"/>
            <w:gridSpan w:val="2"/>
            <w:shd w:val="clear" w:color="auto" w:fill="BCC589"/>
            <w:vAlign w:val="center"/>
          </w:tcPr>
          <w:p w:rsidR="00D52A77" w:rsidRPr="009147FB" w:rsidRDefault="00F16872" w:rsidP="00F16872">
            <w:pPr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MAIN D'OEUVRE</w:t>
            </w:r>
            <w:r w:rsidR="0032183A" w:rsidRPr="009147FB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 DES </w:t>
            </w:r>
            <w:r w:rsidR="00D833BF" w:rsidRPr="009147FB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AGENTS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NON MEMBRES</w:t>
            </w:r>
            <w:r w:rsidR="00D833BF" w:rsidRPr="009147FB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 DU PERSONNEL PERMANENT</w:t>
            </w:r>
          </w:p>
        </w:tc>
        <w:tc>
          <w:tcPr>
            <w:tcW w:w="900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00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6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596629" w:rsidP="00F1687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Sécurité de l'entrepôt (si </w:t>
            </w:r>
            <w:r w:rsidR="00F16872">
              <w:rPr>
                <w:rFonts w:asciiTheme="minorHAnsi" w:hAnsiTheme="minorHAnsi" w:cs="Arial"/>
                <w:sz w:val="20"/>
                <w:szCs w:val="20"/>
                <w:lang w:val="fr-FR"/>
              </w:rPr>
              <w:t>le service a été engagé)</w:t>
            </w:r>
          </w:p>
        </w:tc>
        <w:tc>
          <w:tcPr>
            <w:tcW w:w="90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033999" w:rsidP="009147FB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Rémunération</w:t>
            </w:r>
            <w:r w:rsidR="00D833BF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des ouvriers </w:t>
            </w:r>
            <w:r w:rsidR="0059662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temporaires ou occasi</w:t>
            </w:r>
            <w:r w:rsidR="00F16872">
              <w:rPr>
                <w:rFonts w:asciiTheme="minorHAnsi" w:hAnsiTheme="minorHAnsi" w:cs="Arial"/>
                <w:sz w:val="20"/>
                <w:szCs w:val="20"/>
                <w:lang w:val="fr-FR"/>
              </w:rPr>
              <w:t>onnels embauchés pour charger/</w:t>
            </w:r>
            <w:r w:rsidR="0059662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décharger et empiler les vivres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576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033999" w:rsidP="00F90C69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Rémunération </w:t>
            </w:r>
            <w:r w:rsidR="00D833BF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des ouvriers </w:t>
            </w:r>
            <w:r w:rsidR="0059662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temporaires ou occasionnels embauchés pour remplir, </w:t>
            </w:r>
            <w:r w:rsidR="007A736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coudre</w:t>
            </w:r>
            <w:r w:rsidR="0059662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et empiler des sacs, des boîtes ou des cartons reconditionnés pour des distributions </w:t>
            </w:r>
            <w:r w:rsidR="00D833BF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de </w:t>
            </w:r>
            <w:r w:rsidR="00D833BF" w:rsidRPr="009147FB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 xml:space="preserve">vivres </w:t>
            </w:r>
            <w:r w:rsidR="00596629" w:rsidRPr="009147FB">
              <w:rPr>
                <w:rFonts w:asciiTheme="minorHAnsi" w:hAnsiTheme="minorHAnsi" w:cs="Arial"/>
                <w:b/>
                <w:sz w:val="20"/>
                <w:szCs w:val="20"/>
                <w:lang w:val="fr-FR"/>
              </w:rPr>
              <w:t>pré-emballés</w:t>
            </w:r>
            <w:r w:rsidR="0059662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(p</w:t>
            </w:r>
            <w:r w:rsidR="00F04CAE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ossibilit</w:t>
            </w:r>
            <w:r w:rsidR="00F04CAE" w:rsidRPr="009147FB">
              <w:rPr>
                <w:rFonts w:ascii="Calibri" w:hAnsi="Calibri" w:cs="Arial"/>
                <w:sz w:val="20"/>
                <w:szCs w:val="20"/>
                <w:lang w:val="fr-FR"/>
              </w:rPr>
              <w:t xml:space="preserve">é </w:t>
            </w:r>
            <w:r w:rsidR="00F04CAE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de </w:t>
            </w:r>
            <w:r w:rsidR="0059662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payer par unité ou par jour)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864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033999" w:rsidP="009147FB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Rémunération des ouvriers </w:t>
            </w:r>
            <w:r w:rsidR="0059662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temporaires ou occasionnels embauchés pour remplir, </w:t>
            </w:r>
            <w:r w:rsidR="007A736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coudre</w:t>
            </w:r>
            <w:r w:rsidR="0059662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et empiler des sacs, des cartons ou des contenants reconditionnés en raison des dommages, des fuites ou 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ceux en mauvais </w:t>
            </w:r>
            <w:r w:rsidR="009147FB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état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ou impropres à la consommation</w:t>
            </w:r>
            <w:r w:rsidR="0059662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(</w:t>
            </w:r>
            <w:r w:rsidR="00F04CAE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possibilit</w:t>
            </w:r>
            <w:r w:rsidR="00F04CAE" w:rsidRPr="009147FB">
              <w:rPr>
                <w:rFonts w:ascii="Calibri" w:hAnsi="Calibri" w:cs="Arial"/>
                <w:sz w:val="20"/>
                <w:szCs w:val="20"/>
                <w:lang w:val="fr-FR"/>
              </w:rPr>
              <w:t>é</w:t>
            </w:r>
            <w:r w:rsidR="00F04CAE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</w:t>
            </w:r>
            <w:r w:rsidR="0059662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payer par unité ou par jour).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576"/>
        </w:trPr>
        <w:tc>
          <w:tcPr>
            <w:tcW w:w="236" w:type="dxa"/>
            <w:vAlign w:val="center"/>
          </w:tcPr>
          <w:p w:rsidR="00FA00B5" w:rsidRPr="009147FB" w:rsidRDefault="00FA00B5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FA00B5" w:rsidRPr="009147FB" w:rsidRDefault="00033999" w:rsidP="00F16872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Rémunération des ouvriers </w:t>
            </w:r>
            <w:r w:rsidR="0059662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temporaires ou occasionnels embauchés pour nettoyer les sites de distribution ou pour charger/décharger les vivres, par exemple, les 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agents de pointage</w:t>
            </w:r>
            <w:r w:rsidR="0059662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et les porteurs</w:t>
            </w:r>
            <w:r w:rsidR="00F16872">
              <w:rPr>
                <w:rFonts w:asciiTheme="minorHAnsi" w:hAnsiTheme="minorHAnsi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FA00B5" w:rsidRPr="009147FB" w:rsidRDefault="00FA00B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FA00B5" w:rsidRPr="009147FB" w:rsidRDefault="00FA00B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FA00B5" w:rsidRPr="009147FB" w:rsidRDefault="00FA00B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576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033999" w:rsidP="00F1687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/>
                <w:sz w:val="20"/>
                <w:szCs w:val="20"/>
                <w:lang w:val="fr-FR"/>
              </w:rPr>
              <w:t>H</w:t>
            </w:r>
            <w:r w:rsidR="00596629" w:rsidRPr="009147F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onoraires d'un consultant qualifié en technologie de fumigation pour </w:t>
            </w:r>
            <w:r w:rsidR="00F16872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élaborer </w:t>
            </w:r>
            <w:r w:rsidR="00596629" w:rsidRPr="009147FB">
              <w:rPr>
                <w:rFonts w:asciiTheme="minorHAnsi" w:hAnsiTheme="minorHAnsi"/>
                <w:sz w:val="20"/>
                <w:szCs w:val="20"/>
                <w:lang w:val="fr-FR"/>
              </w:rPr>
              <w:t>un plan de gestion de la fumigation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E35460" w:rsidRPr="009443CE" w:rsidTr="009147FB">
        <w:trPr>
          <w:trHeight w:val="432"/>
        </w:trPr>
        <w:tc>
          <w:tcPr>
            <w:tcW w:w="13608" w:type="dxa"/>
            <w:gridSpan w:val="5"/>
            <w:shd w:val="clear" w:color="auto" w:fill="C2D69B" w:themeFill="accent3" w:themeFillTint="99"/>
            <w:vAlign w:val="center"/>
          </w:tcPr>
          <w:p w:rsidR="00E35460" w:rsidRPr="009147FB" w:rsidRDefault="009443CE" w:rsidP="009147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lang w:val="fr-FR"/>
              </w:rPr>
              <w:t>mission</w:t>
            </w:r>
            <w:r w:rsidR="00E26AA4" w:rsidRPr="009147FB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lang w:val="fr-FR"/>
              </w:rPr>
              <w:t>S</w:t>
            </w:r>
            <w:r w:rsidR="00E35460" w:rsidRPr="009147FB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lang w:val="fr-FR"/>
              </w:rPr>
              <w:t xml:space="preserve"> </w:t>
            </w:r>
            <w:r w:rsidR="00E26AA4" w:rsidRPr="009147FB">
              <w:rPr>
                <w:rFonts w:ascii="Segoe UI" w:hAnsi="Segoe UI" w:cs="Segoe UI"/>
                <w:sz w:val="20"/>
                <w:szCs w:val="20"/>
                <w:shd w:val="clear" w:color="auto" w:fill="C4BC96" w:themeFill="background2" w:themeFillShade="BF"/>
                <w:lang w:val="fr-FR"/>
              </w:rPr>
              <w:t>(</w:t>
            </w:r>
            <w:r w:rsidR="00E26AA4" w:rsidRPr="009147FB">
              <w:rPr>
                <w:rFonts w:ascii="Segoe UI" w:hAnsi="Segoe UI" w:cs="Segoe UI"/>
                <w:sz w:val="20"/>
                <w:szCs w:val="20"/>
                <w:shd w:val="clear" w:color="auto" w:fill="C2D69B" w:themeFill="accent3" w:themeFillTint="99"/>
                <w:lang w:val="fr-FR"/>
              </w:rPr>
              <w:t>hébergement et indemnités journalières pour les déplacements dans le</w:t>
            </w:r>
            <w:r w:rsidR="00033999" w:rsidRPr="009147FB">
              <w:rPr>
                <w:rFonts w:ascii="Segoe UI" w:hAnsi="Segoe UI" w:cs="Segoe UI"/>
                <w:sz w:val="20"/>
                <w:szCs w:val="20"/>
                <w:shd w:val="clear" w:color="auto" w:fill="C2D69B" w:themeFill="accent3" w:themeFillTint="99"/>
                <w:lang w:val="fr-FR"/>
              </w:rPr>
              <w:t xml:space="preserve">s </w:t>
            </w:r>
            <w:r w:rsidR="009147FB" w:rsidRPr="009147FB">
              <w:rPr>
                <w:rFonts w:ascii="Segoe UI" w:hAnsi="Segoe UI" w:cs="Segoe UI"/>
                <w:sz w:val="20"/>
                <w:szCs w:val="20"/>
                <w:shd w:val="clear" w:color="auto" w:fill="C2D69B" w:themeFill="accent3" w:themeFillTint="99"/>
                <w:lang w:val="fr-FR"/>
              </w:rPr>
              <w:t>régions</w:t>
            </w:r>
            <w:r w:rsidR="00033999" w:rsidRPr="009147FB">
              <w:rPr>
                <w:rFonts w:ascii="Segoe UI" w:hAnsi="Segoe UI" w:cs="Segoe UI"/>
                <w:sz w:val="20"/>
                <w:szCs w:val="20"/>
                <w:shd w:val="clear" w:color="auto" w:fill="C2D69B" w:themeFill="accent3" w:themeFillTint="99"/>
                <w:lang w:val="fr-FR"/>
              </w:rPr>
              <w:t xml:space="preserve"> du</w:t>
            </w:r>
            <w:r w:rsidR="00E26AA4" w:rsidRPr="009147FB">
              <w:rPr>
                <w:rFonts w:ascii="Segoe UI" w:hAnsi="Segoe UI" w:cs="Segoe UI"/>
                <w:sz w:val="20"/>
                <w:szCs w:val="20"/>
                <w:shd w:val="clear" w:color="auto" w:fill="C2D69B" w:themeFill="accent3" w:themeFillTint="99"/>
                <w:lang w:val="fr-FR"/>
              </w:rPr>
              <w:t xml:space="preserve"> pays, </w:t>
            </w:r>
            <w:r w:rsidR="00033999" w:rsidRPr="009147FB">
              <w:rPr>
                <w:rFonts w:ascii="Segoe UI" w:hAnsi="Segoe UI" w:cs="Segoe UI"/>
                <w:sz w:val="20"/>
                <w:szCs w:val="20"/>
                <w:shd w:val="clear" w:color="auto" w:fill="C2D69B" w:themeFill="accent3" w:themeFillTint="99"/>
                <w:lang w:val="fr-FR"/>
              </w:rPr>
              <w:t xml:space="preserve">ceux </w:t>
            </w:r>
            <w:r w:rsidR="00E26AA4" w:rsidRPr="009147FB">
              <w:rPr>
                <w:rFonts w:ascii="Segoe UI" w:hAnsi="Segoe UI" w:cs="Segoe UI"/>
                <w:sz w:val="20"/>
                <w:szCs w:val="20"/>
                <w:shd w:val="clear" w:color="auto" w:fill="C2D69B" w:themeFill="accent3" w:themeFillTint="99"/>
                <w:lang w:val="fr-FR"/>
              </w:rPr>
              <w:t>liés au pro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C2D69B" w:themeFill="accent3" w:themeFillTint="99"/>
                <w:lang w:val="fr-FR"/>
              </w:rPr>
              <w:t>gramme, organisés par catégorie</w:t>
            </w:r>
            <w:r w:rsidR="00E26AA4" w:rsidRPr="009147FB">
              <w:rPr>
                <w:rFonts w:ascii="Segoe UI" w:hAnsi="Segoe UI" w:cs="Segoe UI"/>
                <w:sz w:val="20"/>
                <w:szCs w:val="20"/>
                <w:shd w:val="clear" w:color="auto" w:fill="C2D69B" w:themeFill="accent3" w:themeFillTint="99"/>
                <w:lang w:val="fr-FR"/>
              </w:rPr>
              <w:t xml:space="preserve"> de perso</w:t>
            </w:r>
            <w:r w:rsidR="00033999" w:rsidRPr="009147FB">
              <w:rPr>
                <w:rFonts w:ascii="Segoe UI" w:hAnsi="Segoe UI" w:cs="Segoe UI"/>
                <w:sz w:val="20"/>
                <w:szCs w:val="20"/>
                <w:shd w:val="clear" w:color="auto" w:fill="C2D69B" w:themeFill="accent3" w:themeFillTint="99"/>
                <w:lang w:val="fr-FR"/>
              </w:rPr>
              <w:t>nnel indiquée</w:t>
            </w:r>
            <w:r w:rsidR="00E26AA4" w:rsidRPr="009147FB">
              <w:rPr>
                <w:rFonts w:ascii="Segoe UI" w:hAnsi="Segoe UI" w:cs="Segoe UI"/>
                <w:sz w:val="20"/>
                <w:szCs w:val="20"/>
                <w:shd w:val="clear" w:color="auto" w:fill="C2D69B" w:themeFill="accent3" w:themeFillTint="99"/>
                <w:lang w:val="fr-FR"/>
              </w:rPr>
              <w:t xml:space="preserve"> ci-dessus)</w:t>
            </w: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6478E0" w:rsidRPr="009147FB" w:rsidRDefault="006478E0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6478E0" w:rsidRPr="009147FB" w:rsidRDefault="006478E0" w:rsidP="00E26A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6478E0" w:rsidRPr="009147FB" w:rsidRDefault="006478E0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6478E0" w:rsidRPr="009147FB" w:rsidRDefault="006478E0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6478E0" w:rsidRPr="009147FB" w:rsidRDefault="006478E0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32"/>
        </w:trPr>
        <w:tc>
          <w:tcPr>
            <w:tcW w:w="10530" w:type="dxa"/>
            <w:gridSpan w:val="2"/>
            <w:shd w:val="clear" w:color="auto" w:fill="BCC589"/>
            <w:vAlign w:val="center"/>
          </w:tcPr>
          <w:p w:rsidR="00D52A77" w:rsidRPr="009147FB" w:rsidRDefault="00D52A77" w:rsidP="00E26AA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val="fr-FR"/>
              </w:rPr>
            </w:pPr>
            <w:r w:rsidRPr="009147FB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lang w:val="fr-FR"/>
              </w:rPr>
              <w:lastRenderedPageBreak/>
              <w:t xml:space="preserve">Transport </w:t>
            </w:r>
            <w:r w:rsidR="00E26AA4" w:rsidRPr="009147FB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lang w:val="fr-FR"/>
              </w:rPr>
              <w:t>DEs</w:t>
            </w:r>
            <w:r w:rsidRPr="009147FB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lang w:val="fr-FR"/>
              </w:rPr>
              <w:t xml:space="preserve"> </w:t>
            </w:r>
            <w:r w:rsidR="00E26AA4" w:rsidRPr="009147FB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lang w:val="fr-FR"/>
              </w:rPr>
              <w:t>VIVRES</w:t>
            </w:r>
          </w:p>
        </w:tc>
        <w:tc>
          <w:tcPr>
            <w:tcW w:w="900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</w:p>
        </w:tc>
        <w:tc>
          <w:tcPr>
            <w:tcW w:w="100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</w:p>
        </w:tc>
        <w:tc>
          <w:tcPr>
            <w:tcW w:w="116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10530" w:type="dxa"/>
            <w:gridSpan w:val="2"/>
            <w:vAlign w:val="center"/>
          </w:tcPr>
          <w:p w:rsidR="00095C9F" w:rsidRPr="009147FB" w:rsidRDefault="00F16872" w:rsidP="009147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lang w:val="fr-FR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De leur origine</w:t>
            </w:r>
            <w:r w:rsidR="00E26AA4" w:rsidRP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au</w:t>
            </w:r>
            <w:r w:rsidR="00E26AA4" w:rsidRP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lieu de</w:t>
            </w:r>
            <w:r w:rsidR="00E26AA4" w:rsidRP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 xml:space="preserve"> stockage primaire (pour chaque itinéraire):</w:t>
            </w:r>
          </w:p>
        </w:tc>
        <w:tc>
          <w:tcPr>
            <w:tcW w:w="900" w:type="dxa"/>
            <w:tcBorders>
              <w:bottom w:val="single" w:sz="8" w:space="0" w:color="7C8029"/>
            </w:tcBorders>
            <w:vAlign w:val="center"/>
          </w:tcPr>
          <w:p w:rsidR="00095C9F" w:rsidRPr="009147FB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009" w:type="dxa"/>
            <w:tcBorders>
              <w:bottom w:val="single" w:sz="8" w:space="0" w:color="7C8029"/>
            </w:tcBorders>
            <w:vAlign w:val="center"/>
          </w:tcPr>
          <w:p w:rsidR="00095C9F" w:rsidRPr="009147FB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169" w:type="dxa"/>
            <w:tcBorders>
              <w:bottom w:val="single" w:sz="8" w:space="0" w:color="7C8029"/>
            </w:tcBorders>
            <w:vAlign w:val="center"/>
          </w:tcPr>
          <w:p w:rsidR="00095C9F" w:rsidRPr="009147FB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F16872" w:rsidP="00F1687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fr-FR"/>
              </w:rPr>
              <w:t>Frais de location des camions/wagons/</w:t>
            </w:r>
            <w:r w:rsidR="00E26AA4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barges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E26AA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Frais de convoi et d'escorte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10530" w:type="dxa"/>
            <w:gridSpan w:val="2"/>
            <w:vAlign w:val="center"/>
          </w:tcPr>
          <w:p w:rsidR="00095C9F" w:rsidRPr="009147FB" w:rsidRDefault="00E26AA4" w:rsidP="009147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val="fr-FR"/>
              </w:rPr>
            </w:pPr>
            <w:r w:rsidRP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 xml:space="preserve">Entre les </w:t>
            </w:r>
            <w:r w:rsid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différents lieux</w:t>
            </w:r>
            <w:r w:rsidRP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 xml:space="preserve"> de stockage (pour chaque itinéraire):</w:t>
            </w:r>
          </w:p>
        </w:tc>
        <w:tc>
          <w:tcPr>
            <w:tcW w:w="90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9147FB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9147FB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9147FB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E26AA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Frais de location de camions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E26AA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Frais de convoi et d'escorte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10530" w:type="dxa"/>
            <w:gridSpan w:val="2"/>
            <w:vAlign w:val="center"/>
          </w:tcPr>
          <w:p w:rsidR="00095C9F" w:rsidRPr="009147FB" w:rsidRDefault="009147FB" w:rsidP="009147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lang w:val="fr-F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Du lieu de stockage </w:t>
            </w:r>
            <w:r w:rsidR="0005286D" w:rsidRPr="009147FB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au(x) site(s) de distribution (pour chaque site de distribution):</w:t>
            </w:r>
          </w:p>
        </w:tc>
        <w:tc>
          <w:tcPr>
            <w:tcW w:w="90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9147FB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9147FB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095C9F" w:rsidRPr="009147FB" w:rsidRDefault="00095C9F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F04CAE" w:rsidP="009147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bookmarkStart w:id="0" w:name="_GoBack"/>
            <w:bookmarkEnd w:id="0"/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</w:t>
            </w:r>
            <w:r w:rsidR="0005286D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rais de location des camions OU de carburant, d'entretien et de réparation pour les camions appartenant à l'organisme récipiendaire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05286D" w:rsidRPr="009147FB" w:rsidRDefault="0005286D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05286D" w:rsidRPr="009147FB" w:rsidRDefault="0005286D" w:rsidP="007A736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Frais de convoi et d'escorte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05286D" w:rsidRPr="009147FB" w:rsidRDefault="0005286D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05286D" w:rsidRPr="009147FB" w:rsidRDefault="0005286D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05286D" w:rsidRPr="009147FB" w:rsidRDefault="0005286D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32"/>
        </w:trPr>
        <w:tc>
          <w:tcPr>
            <w:tcW w:w="10530" w:type="dxa"/>
            <w:gridSpan w:val="2"/>
            <w:shd w:val="clear" w:color="auto" w:fill="BCC589"/>
            <w:vAlign w:val="center"/>
          </w:tcPr>
          <w:p w:rsidR="00D52A77" w:rsidRPr="009147FB" w:rsidRDefault="0005286D" w:rsidP="00FE1760">
            <w:pPr>
              <w:rPr>
                <w:rFonts w:asciiTheme="minorHAnsi" w:hAnsiTheme="minorHAnsi" w:cs="Arial"/>
                <w:lang w:val="fr-FR"/>
              </w:rPr>
            </w:pPr>
            <w:r w:rsidRP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FORMATION</w:t>
            </w:r>
          </w:p>
        </w:tc>
        <w:tc>
          <w:tcPr>
            <w:tcW w:w="900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00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16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05286D" w:rsidP="00F5100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Formation du personnel d'entrepôt</w:t>
            </w:r>
          </w:p>
        </w:tc>
        <w:tc>
          <w:tcPr>
            <w:tcW w:w="90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05286D" w:rsidP="00F5100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Formation du personnel de distribution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D95293" w:rsidRPr="009147FB" w:rsidRDefault="00D95293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D95293" w:rsidRPr="009147FB" w:rsidRDefault="0005286D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Formation des travailleurs occasionnels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D95293" w:rsidRPr="009147FB" w:rsidRDefault="00D95293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D95293" w:rsidRPr="009147FB" w:rsidRDefault="00D95293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D95293" w:rsidRPr="009147FB" w:rsidRDefault="00D95293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05286D" w:rsidP="00F5100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Formation du personnel de supervision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05286D" w:rsidP="00F5100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/>
                <w:sz w:val="20"/>
                <w:szCs w:val="20"/>
                <w:lang w:val="fr-FR"/>
              </w:rPr>
              <w:t>Formation du personnel de l'agence de distribution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05286D" w:rsidP="00F1687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Formation des autres </w:t>
            </w:r>
            <w:r w:rsidR="00F16872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employés du </w:t>
            </w:r>
            <w:r w:rsidRPr="009147FB">
              <w:rPr>
                <w:rFonts w:asciiTheme="minorHAnsi" w:hAnsiTheme="minorHAnsi"/>
                <w:sz w:val="20"/>
                <w:szCs w:val="20"/>
                <w:lang w:val="fr-FR"/>
              </w:rPr>
              <w:t>projet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D95293" w:rsidRPr="009147FB" w:rsidRDefault="00D95293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954A8D" w:rsidRPr="009147FB" w:rsidRDefault="0005286D" w:rsidP="00F1687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  <w:t xml:space="preserve">Matériel </w:t>
            </w:r>
            <w:r w:rsidR="00F16872"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  <w:t>et</w:t>
            </w:r>
            <w:r w:rsidRPr="009147FB"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  <w:t xml:space="preserve"> fournitures</w:t>
            </w:r>
            <w:r w:rsidR="00F16872"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  <w:t xml:space="preserve"> de formation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D95293" w:rsidRPr="009147FB" w:rsidRDefault="00D95293" w:rsidP="00F5100D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D95293" w:rsidRPr="009147FB" w:rsidRDefault="00D95293" w:rsidP="00F5100D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D95293" w:rsidRPr="009147FB" w:rsidRDefault="00D95293" w:rsidP="00F5100D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954A8D" w:rsidRPr="009443CE" w:rsidTr="00954A8D">
        <w:trPr>
          <w:trHeight w:val="403"/>
        </w:trPr>
        <w:tc>
          <w:tcPr>
            <w:tcW w:w="236" w:type="dxa"/>
            <w:vAlign w:val="center"/>
          </w:tcPr>
          <w:p w:rsidR="00954A8D" w:rsidRPr="009147FB" w:rsidRDefault="00954A8D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954A8D" w:rsidRPr="009147FB" w:rsidRDefault="00954A8D" w:rsidP="00F16872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954A8D" w:rsidRPr="009147FB" w:rsidRDefault="00954A8D" w:rsidP="00F5100D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954A8D" w:rsidRPr="009147FB" w:rsidRDefault="00954A8D" w:rsidP="00F5100D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954A8D" w:rsidRPr="009147FB" w:rsidRDefault="00954A8D" w:rsidP="00F5100D">
            <w:pPr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32"/>
        </w:trPr>
        <w:tc>
          <w:tcPr>
            <w:tcW w:w="10530" w:type="dxa"/>
            <w:gridSpan w:val="2"/>
            <w:shd w:val="clear" w:color="auto" w:fill="BCC589"/>
            <w:vAlign w:val="center"/>
          </w:tcPr>
          <w:p w:rsidR="00D52A77" w:rsidRPr="009147FB" w:rsidRDefault="00820DFF" w:rsidP="009147FB">
            <w:pPr>
              <w:rPr>
                <w:rFonts w:asciiTheme="minorHAnsi" w:hAnsiTheme="minorHAnsi"/>
                <w:lang w:val="fr-FR"/>
              </w:rPr>
            </w:pPr>
            <w:r w:rsidRP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lastRenderedPageBreak/>
              <w:t>STRAT</w:t>
            </w:r>
            <w:r w:rsidR="00D16709" w:rsidRPr="009147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É</w:t>
            </w:r>
            <w:r w:rsidRP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GIE DE MARQUE et UTILISATION</w:t>
            </w:r>
            <w:r w:rsidR="00D16709" w:rsidRP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 xml:space="preserve"> DES IDENTIT</w:t>
            </w:r>
            <w:r w:rsidR="00D16709" w:rsidRPr="009147F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É</w:t>
            </w:r>
            <w:r w:rsidR="00D16709" w:rsidRP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S VISUELLES</w:t>
            </w:r>
          </w:p>
        </w:tc>
        <w:tc>
          <w:tcPr>
            <w:tcW w:w="900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00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16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right w:val="single" w:sz="8" w:space="0" w:color="7C8029"/>
            </w:tcBorders>
            <w:vAlign w:val="center"/>
          </w:tcPr>
          <w:p w:rsidR="00BB45D4" w:rsidRPr="009147FB" w:rsidRDefault="0005286D" w:rsidP="00F16872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Affiches et matériaux de </w:t>
            </w:r>
            <w:r w:rsidR="00F16872">
              <w:rPr>
                <w:rFonts w:asciiTheme="minorHAnsi" w:hAnsiTheme="minorHAnsi"/>
                <w:sz w:val="20"/>
                <w:szCs w:val="20"/>
                <w:lang w:val="fr-FR"/>
              </w:rPr>
              <w:t>promotion</w:t>
            </w:r>
          </w:p>
        </w:tc>
        <w:tc>
          <w:tcPr>
            <w:tcW w:w="900" w:type="dxa"/>
            <w:tcBorders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lef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32"/>
        </w:trPr>
        <w:tc>
          <w:tcPr>
            <w:tcW w:w="10530" w:type="dxa"/>
            <w:gridSpan w:val="2"/>
            <w:shd w:val="clear" w:color="auto" w:fill="BCC589"/>
            <w:vAlign w:val="center"/>
          </w:tcPr>
          <w:p w:rsidR="00D52A77" w:rsidRPr="009147FB" w:rsidRDefault="0050323A" w:rsidP="009147FB">
            <w:pPr>
              <w:rPr>
                <w:rFonts w:asciiTheme="minorHAnsi" w:hAnsiTheme="minorHAnsi" w:cs="Arial"/>
                <w:lang w:val="fr-FR"/>
              </w:rPr>
            </w:pPr>
            <w:r w:rsidRPr="009147FB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lang w:val="fr-FR"/>
              </w:rPr>
              <w:t xml:space="preserve">VÉHICULES LÉGERS (pour les </w:t>
            </w:r>
            <w:r w:rsidR="00D16709" w:rsidRPr="009147FB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fr-FR"/>
              </w:rPr>
              <w:t>É</w:t>
            </w:r>
            <w:r w:rsidRPr="009147FB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lang w:val="fr-FR"/>
              </w:rPr>
              <w:t>quipes, les moniteurs et la direction de distribution)</w:t>
            </w:r>
          </w:p>
        </w:tc>
        <w:tc>
          <w:tcPr>
            <w:tcW w:w="900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</w:p>
        </w:tc>
        <w:tc>
          <w:tcPr>
            <w:tcW w:w="100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</w:p>
        </w:tc>
        <w:tc>
          <w:tcPr>
            <w:tcW w:w="116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D16709" w:rsidP="00F5100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</w:t>
            </w:r>
            <w:r w:rsidR="005032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rais de location de véhicules légers ou prix d'achat (si autorisé)</w:t>
            </w:r>
          </w:p>
        </w:tc>
        <w:tc>
          <w:tcPr>
            <w:tcW w:w="90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D16709" w:rsidP="00F5100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M</w:t>
            </w:r>
            <w:r w:rsidR="005032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oto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cyclette</w:t>
            </w:r>
            <w:r w:rsidR="0050323A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50323A" w:rsidP="00335FC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Carburant des véhicules et des moto</w:t>
            </w:r>
            <w:r w:rsidR="00F16872">
              <w:rPr>
                <w:rFonts w:asciiTheme="minorHAnsi" w:hAnsiTheme="minorHAnsi" w:cs="Arial"/>
                <w:sz w:val="20"/>
                <w:szCs w:val="20"/>
                <w:lang w:val="fr-FR"/>
              </w:rPr>
              <w:t>cyclette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50323A" w:rsidP="00335FC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Entretien et réparation des véhicules et des moto</w:t>
            </w:r>
            <w:r w:rsidR="00F16872">
              <w:rPr>
                <w:rFonts w:asciiTheme="minorHAnsi" w:hAnsiTheme="minorHAnsi" w:cs="Arial"/>
                <w:sz w:val="20"/>
                <w:szCs w:val="20"/>
                <w:lang w:val="fr-FR"/>
              </w:rPr>
              <w:t>cyclette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50323A" w:rsidP="00335FC4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Assurance des véhicules et des moto</w:t>
            </w:r>
            <w:r w:rsidR="00D1670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cyclette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32"/>
        </w:trPr>
        <w:tc>
          <w:tcPr>
            <w:tcW w:w="10530" w:type="dxa"/>
            <w:gridSpan w:val="2"/>
            <w:shd w:val="clear" w:color="auto" w:fill="BCC589"/>
            <w:vAlign w:val="center"/>
          </w:tcPr>
          <w:p w:rsidR="00D52A77" w:rsidRPr="009147FB" w:rsidRDefault="00D52A77" w:rsidP="009147FB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lang w:val="fr-FR"/>
              </w:rPr>
            </w:pPr>
            <w:r w:rsidRPr="009147FB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lang w:val="fr-FR"/>
              </w:rPr>
              <w:t>op</w:t>
            </w:r>
            <w:r w:rsidR="00D16709" w:rsidRPr="009147FB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  <w:lang w:val="fr-FR"/>
              </w:rPr>
              <w:t>É</w:t>
            </w:r>
            <w:r w:rsidRPr="009147FB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lang w:val="fr-FR"/>
              </w:rPr>
              <w:t xml:space="preserve">ration </w:t>
            </w:r>
            <w:r w:rsidR="0050323A" w:rsidRPr="009147FB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lang w:val="fr-FR"/>
              </w:rPr>
              <w:t xml:space="preserve">PORTUAIRE </w:t>
            </w:r>
            <w:r w:rsidR="00095C9F" w:rsidRPr="009147FB">
              <w:rPr>
                <w:rFonts w:asciiTheme="minorHAnsi" w:hAnsiTheme="minorHAnsi" w:cs="Arial"/>
                <w:bCs/>
                <w:caps/>
                <w:sz w:val="20"/>
                <w:szCs w:val="20"/>
                <w:lang w:val="fr-FR"/>
              </w:rPr>
              <w:t>(</w:t>
            </w:r>
            <w:r w:rsidR="0050323A" w:rsidRPr="009147FB">
              <w:rPr>
                <w:rFonts w:asciiTheme="minorHAnsi" w:hAnsiTheme="minorHAnsi" w:cs="Arial"/>
                <w:bCs/>
                <w:sz w:val="20"/>
                <w:szCs w:val="20"/>
                <w:lang w:val="fr-FR"/>
              </w:rPr>
              <w:t>pour chaque port ou autre point d’origine</w:t>
            </w:r>
            <w:r w:rsidR="00095C9F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900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</w:p>
        </w:tc>
        <w:tc>
          <w:tcPr>
            <w:tcW w:w="100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</w:p>
        </w:tc>
        <w:tc>
          <w:tcPr>
            <w:tcW w:w="116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9147FB" w:rsidP="00C07914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Commissionnaire</w:t>
            </w:r>
            <w:r w:rsidR="00C07914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de transport</w:t>
            </w:r>
          </w:p>
        </w:tc>
        <w:tc>
          <w:tcPr>
            <w:tcW w:w="90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50323A" w:rsidP="009147FB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T</w:t>
            </w:r>
            <w:r w:rsidR="00D1670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ransbordement vers 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les pays enclavés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50323A" w:rsidP="00095C9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  <w:t>Frais de port/taxes, frais de débarquement/frais de douane  (le cas échéant)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D16709" w:rsidP="009147FB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Honoraires </w:t>
            </w:r>
            <w:r w:rsidR="00C07914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du transitaire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local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D16709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</w:t>
            </w:r>
            <w:r w:rsidR="00C07914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rais de douane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576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C0791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Frais d'inspection pour le contrôle de la cargaison avant le déchargement (pour déterminer la responsabilité des dommages en cours de route)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tabs>
                <w:tab w:val="left" w:pos="-72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C0791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Surestarie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1152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C07914" w:rsidRPr="009147FB" w:rsidRDefault="00C07914" w:rsidP="00C07914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Pour les grains en vrac:</w:t>
            </w:r>
          </w:p>
          <w:p w:rsidR="00C07914" w:rsidRPr="009147FB" w:rsidRDefault="00C07914" w:rsidP="00E4216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Frais d</w:t>
            </w:r>
            <w:r w:rsidR="00D1670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e mise en sac</w:t>
            </w:r>
          </w:p>
          <w:p w:rsidR="00C07914" w:rsidRPr="009147FB" w:rsidRDefault="00C07914" w:rsidP="00E4216D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Matéri</w:t>
            </w:r>
            <w:r w:rsidR="00D1670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el de mise en sac</w:t>
            </w:r>
          </w:p>
          <w:p w:rsidR="00BB45D4" w:rsidRPr="009147FB" w:rsidRDefault="00C07914" w:rsidP="00E4216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Manutention et décompte à quai (ex-quai ou de l'extrémité de la ligne d'emballage à quai)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E4216D" w:rsidP="00095C9F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Pour les conteneurs: frais de manœuvre locaux et de manutention au terminal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BB45D4" w:rsidRPr="009147FB" w:rsidRDefault="00BB45D4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E4216D" w:rsidP="00954A8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Frais de manutention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BB45D4" w:rsidRPr="009147FB" w:rsidRDefault="00BB45D4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Transport vers l'entrepôt portuaire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Frais de stockage au port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9147FB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Enlèvement</w:t>
            </w:r>
            <w:r w:rsidR="00F44425" w:rsidRPr="009147FB">
              <w:rPr>
                <w:rFonts w:asciiTheme="minorHAnsi" w:hAnsiTheme="minorHAnsi" w:cstheme="minorHAnsi"/>
                <w:sz w:val="20"/>
                <w:lang w:val="fr-FR"/>
              </w:rPr>
              <w:t>/manutention dans et hors</w:t>
            </w:r>
            <w:r w:rsidR="00A36BC3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7F5EDF" w:rsidRPr="009147FB">
              <w:rPr>
                <w:rFonts w:asciiTheme="minorHAnsi" w:hAnsiTheme="minorHAnsi" w:cstheme="minorHAnsi"/>
                <w:sz w:val="20"/>
                <w:lang w:val="fr-FR"/>
              </w:rPr>
              <w:t>de l’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entrepôt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Fumigation/reconditionnement dans </w:t>
            </w:r>
            <w:r w:rsidR="007F5EDF" w:rsidRPr="009147FB">
              <w:rPr>
                <w:rFonts w:asciiTheme="minorHAnsi" w:hAnsiTheme="minorHAnsi" w:cstheme="minorHAnsi"/>
                <w:sz w:val="20"/>
                <w:lang w:val="fr-FR"/>
              </w:rPr>
              <w:t>et hors de l’</w:t>
            </w:r>
            <w:r w:rsidR="009147FB" w:rsidRPr="009147FB">
              <w:rPr>
                <w:rFonts w:asciiTheme="minorHAnsi" w:hAnsiTheme="minorHAnsi" w:cstheme="minorHAnsi"/>
                <w:sz w:val="20"/>
                <w:lang w:val="fr-FR"/>
              </w:rPr>
              <w:t>entrepôt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Contrats d'expédition côtière</w:t>
            </w:r>
            <w:r w:rsidR="00F16872">
              <w:rPr>
                <w:rFonts w:asciiTheme="minorHAnsi" w:hAnsiTheme="minorHAnsi" w:cstheme="minorHAnsi"/>
                <w:sz w:val="20"/>
                <w:lang w:val="fr-FR"/>
              </w:rPr>
              <w:t>/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ferroviaire</w:t>
            </w:r>
            <w:r w:rsidR="00F16872">
              <w:rPr>
                <w:rFonts w:asciiTheme="minorHAnsi" w:hAnsiTheme="minorHAnsi" w:cstheme="minorHAnsi"/>
                <w:sz w:val="20"/>
                <w:lang w:val="fr-FR"/>
              </w:rPr>
              <w:t xml:space="preserve"> ou de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7F5EDF" w:rsidRPr="009147FB">
              <w:rPr>
                <w:rFonts w:asciiTheme="minorHAnsi" w:hAnsiTheme="minorHAnsi" w:cstheme="minorHAnsi"/>
                <w:sz w:val="20"/>
                <w:lang w:val="fr-FR"/>
              </w:rPr>
              <w:t>camionnage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9147FB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Coût</w:t>
            </w:r>
            <w:r w:rsidR="007F5EDF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d’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enlèvement</w:t>
            </w:r>
            <w:r w:rsidR="00F44425" w:rsidRPr="009147FB">
              <w:rPr>
                <w:rFonts w:asciiTheme="minorHAnsi" w:hAnsiTheme="minorHAnsi" w:cstheme="minorHAnsi"/>
                <w:sz w:val="20"/>
                <w:lang w:val="fr-FR"/>
              </w:rPr>
              <w:t>/de manutention d</w:t>
            </w:r>
            <w:r w:rsidR="007F5EDF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e </w:t>
            </w:r>
            <w:r w:rsidR="00F44425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la zone de stockage et de chargement </w:t>
            </w:r>
            <w:r w:rsidR="00F16872">
              <w:rPr>
                <w:rFonts w:asciiTheme="minorHAnsi" w:hAnsiTheme="minorHAnsi" w:cstheme="minorHAnsi"/>
                <w:sz w:val="20"/>
                <w:lang w:val="fr-FR"/>
              </w:rPr>
              <w:t>sur le moyen</w:t>
            </w:r>
            <w:r w:rsidR="007F5EDF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de</w:t>
            </w:r>
            <w:r w:rsidR="00F44425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transport </w:t>
            </w:r>
            <w:r w:rsidR="00F16872">
              <w:rPr>
                <w:rFonts w:asciiTheme="minorHAnsi" w:hAnsiTheme="minorHAnsi" w:cstheme="minorHAnsi"/>
                <w:sz w:val="20"/>
                <w:lang w:val="fr-FR"/>
              </w:rPr>
              <w:t>pour e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xpédition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F5100D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7F5ED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</w:t>
            </w:r>
            <w:r w:rsidR="00F44425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onstats de </w:t>
            </w:r>
            <w:r w:rsidR="009147FB" w:rsidRPr="009147FB">
              <w:rPr>
                <w:rFonts w:asciiTheme="minorHAnsi" w:hAnsiTheme="minorHAnsi" w:cstheme="minorHAnsi"/>
                <w:sz w:val="20"/>
                <w:lang w:val="fr-FR"/>
              </w:rPr>
              <w:t>déchargement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, </w:t>
            </w:r>
            <w:r w:rsidR="00F44425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ex-hangars et 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de livraison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F44425" w:rsidRPr="009147FB" w:rsidRDefault="00F44425" w:rsidP="00F5100D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32"/>
        </w:trPr>
        <w:tc>
          <w:tcPr>
            <w:tcW w:w="10530" w:type="dxa"/>
            <w:gridSpan w:val="2"/>
            <w:shd w:val="clear" w:color="auto" w:fill="BCC589"/>
            <w:vAlign w:val="center"/>
          </w:tcPr>
          <w:p w:rsidR="00D52A77" w:rsidRPr="009147FB" w:rsidRDefault="00F44425" w:rsidP="00335FC4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ENTREP</w:t>
            </w:r>
            <w:r w:rsidR="004E0E4A" w:rsidRP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>OSAGE</w:t>
            </w:r>
            <w:r w:rsidRPr="009147FB">
              <w:rPr>
                <w:rFonts w:asciiTheme="minorHAnsi" w:hAnsiTheme="minorHAnsi" w:cs="Arial"/>
                <w:b/>
                <w:bCs/>
                <w:sz w:val="22"/>
                <w:szCs w:val="22"/>
                <w:lang w:val="fr-FR"/>
              </w:rPr>
              <w:t xml:space="preserve"> (pour chaque installation de stockage)</w:t>
            </w:r>
          </w:p>
        </w:tc>
        <w:tc>
          <w:tcPr>
            <w:tcW w:w="900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</w:p>
        </w:tc>
        <w:tc>
          <w:tcPr>
            <w:tcW w:w="100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</w:p>
        </w:tc>
        <w:tc>
          <w:tcPr>
            <w:tcW w:w="1169" w:type="dxa"/>
            <w:shd w:val="clear" w:color="auto" w:fill="BCC589"/>
            <w:vAlign w:val="center"/>
          </w:tcPr>
          <w:p w:rsidR="00D52A77" w:rsidRPr="009147FB" w:rsidRDefault="00D52A77" w:rsidP="00FE176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10530" w:type="dxa"/>
            <w:gridSpan w:val="2"/>
            <w:vAlign w:val="center"/>
          </w:tcPr>
          <w:p w:rsidR="005F79AD" w:rsidRPr="009147FB" w:rsidRDefault="00F44425" w:rsidP="00A132CA">
            <w:pPr>
              <w:rPr>
                <w:rFonts w:asciiTheme="minorHAnsi" w:eastAsiaTheme="minorHAnsi" w:hAnsiTheme="minorHAnsi" w:cstheme="minorBidi"/>
                <w:b/>
                <w:lang w:val="fr-FR"/>
              </w:rPr>
            </w:pPr>
            <w:r w:rsidRPr="009147F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fr-FR"/>
              </w:rPr>
              <w:t>Opérationnel</w:t>
            </w:r>
          </w:p>
        </w:tc>
        <w:tc>
          <w:tcPr>
            <w:tcW w:w="900" w:type="dxa"/>
            <w:tcBorders>
              <w:bottom w:val="single" w:sz="8" w:space="0" w:color="7C8029"/>
            </w:tcBorders>
            <w:vAlign w:val="center"/>
          </w:tcPr>
          <w:p w:rsidR="005F79AD" w:rsidRPr="009147FB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bottom w:val="single" w:sz="8" w:space="0" w:color="7C8029"/>
            </w:tcBorders>
            <w:vAlign w:val="center"/>
          </w:tcPr>
          <w:p w:rsidR="005F79AD" w:rsidRPr="009147FB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bottom w:val="single" w:sz="8" w:space="0" w:color="7C8029"/>
            </w:tcBorders>
            <w:vAlign w:val="center"/>
          </w:tcPr>
          <w:p w:rsidR="005F79AD" w:rsidRPr="009147FB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Location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Réparations structurelles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A132CA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Coût des installations temporaires (le cas échéant)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A132CA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9147FB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Coût</w:t>
            </w:r>
            <w:r w:rsidR="007F5EDF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F44425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de </w:t>
            </w:r>
            <w:r w:rsidR="004E0E4A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la </w:t>
            </w:r>
            <w:r w:rsidR="00F16872">
              <w:rPr>
                <w:rFonts w:asciiTheme="minorHAnsi" w:hAnsiTheme="minorHAnsi" w:cstheme="minorHAnsi"/>
                <w:sz w:val="20"/>
                <w:lang w:val="fr-FR"/>
              </w:rPr>
              <w:t>fumigation</w:t>
            </w:r>
            <w:r w:rsidR="00F44425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et de l</w:t>
            </w:r>
            <w:r w:rsidR="004E0E4A" w:rsidRPr="009147FB">
              <w:rPr>
                <w:rFonts w:asciiTheme="minorHAnsi" w:hAnsiTheme="minorHAnsi" w:cstheme="minorHAnsi"/>
                <w:sz w:val="20"/>
                <w:lang w:val="fr-FR"/>
              </w:rPr>
              <w:t>a l</w:t>
            </w:r>
            <w:r w:rsidR="00F44425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utte contre les </w:t>
            </w:r>
            <w:r w:rsidR="00F16872">
              <w:rPr>
                <w:rFonts w:asciiTheme="minorHAnsi" w:hAnsiTheme="minorHAnsi" w:cstheme="minorHAnsi"/>
                <w:sz w:val="20"/>
                <w:lang w:val="fr-FR"/>
              </w:rPr>
              <w:t>organismes nuisibles</w:t>
            </w:r>
            <w:r w:rsidR="00F44425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et rongeurs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A132CA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16872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A</w:t>
            </w:r>
            <w:r w:rsidR="00F44425" w:rsidRPr="009147FB">
              <w:rPr>
                <w:rFonts w:asciiTheme="minorHAnsi" w:hAnsiTheme="minorHAnsi" w:cstheme="minorHAnsi"/>
                <w:sz w:val="20"/>
                <w:lang w:val="fr-FR"/>
              </w:rPr>
              <w:t>ssurance, comme le cau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tionnement des entrepôts ou </w:t>
            </w:r>
            <w:r w:rsidR="00F44425" w:rsidRPr="009147FB">
              <w:rPr>
                <w:rFonts w:asciiTheme="minorHAnsi" w:hAnsiTheme="minorHAnsi" w:cstheme="minorHAnsi"/>
                <w:sz w:val="20"/>
                <w:lang w:val="fr-FR"/>
              </w:rPr>
              <w:t>employés, l'assurance contre l'incendie ou le vol de vivres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Coûts des services publics (téléphone, eau, factures d'électricité, carburant </w:t>
            </w:r>
            <w:r w:rsidR="004E0E4A" w:rsidRPr="009147FB">
              <w:rPr>
                <w:rFonts w:asciiTheme="minorHAnsi" w:hAnsiTheme="minorHAnsi" w:cstheme="minorHAnsi"/>
                <w:sz w:val="20"/>
                <w:lang w:val="fr-FR"/>
              </w:rPr>
              <w:t>pour le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générateur)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10530" w:type="dxa"/>
            <w:gridSpan w:val="2"/>
            <w:vAlign w:val="center"/>
          </w:tcPr>
          <w:p w:rsidR="005F79AD" w:rsidRPr="009147FB" w:rsidRDefault="00F16872" w:rsidP="00335FC4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fr-FR"/>
              </w:rPr>
              <w:t>Équipement/</w:t>
            </w:r>
            <w:r w:rsidR="00F44425" w:rsidRPr="009147F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fr-FR"/>
              </w:rPr>
              <w:t xml:space="preserve">fournitures </w:t>
            </w:r>
          </w:p>
        </w:tc>
        <w:tc>
          <w:tcPr>
            <w:tcW w:w="90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5F79AD" w:rsidRPr="009147FB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5F79AD" w:rsidRPr="009147FB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5F79AD" w:rsidRPr="009147FB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Balances calibrées, </w:t>
            </w:r>
            <w:r w:rsidR="004E0E4A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de 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plate-forme, </w:t>
            </w:r>
            <w:r w:rsidR="004E0E4A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de 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capacité minimale de 100 kg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Balance</w:t>
            </w:r>
            <w:r w:rsidR="00F16872">
              <w:rPr>
                <w:rFonts w:asciiTheme="minorHAnsi" w:hAnsiTheme="minorHAnsi" w:cstheme="minorHAnsi"/>
                <w:sz w:val="20"/>
                <w:lang w:val="fr-FR"/>
              </w:rPr>
              <w:t xml:space="preserve"> simple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, </w:t>
            </w:r>
            <w:r w:rsidR="004E0E4A" w:rsidRPr="009147FB">
              <w:rPr>
                <w:rFonts w:asciiTheme="minorHAnsi" w:hAnsiTheme="minorHAnsi" w:cstheme="minorHAnsi"/>
                <w:sz w:val="20"/>
                <w:lang w:val="fr-FR"/>
              </w:rPr>
              <w:t>suspendue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Ventilateur(s), résistant</w:t>
            </w:r>
            <w:r w:rsidR="004E0E4A" w:rsidRPr="009147FB">
              <w:rPr>
                <w:rFonts w:asciiTheme="minorHAnsi" w:hAnsiTheme="minorHAnsi" w:cstheme="minorHAnsi"/>
                <w:sz w:val="20"/>
                <w:lang w:val="fr-FR"/>
              </w:rPr>
              <w:t>(s)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, </w:t>
            </w:r>
            <w:r w:rsidR="00F16872">
              <w:rPr>
                <w:rFonts w:asciiTheme="minorHAnsi" w:hAnsiTheme="minorHAnsi" w:cstheme="minorHAnsi"/>
                <w:sz w:val="20"/>
                <w:lang w:val="fr-FR"/>
              </w:rPr>
              <w:t>sur pied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(pour aider à contrôler l'humidité)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A132CA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Échelle</w:t>
            </w:r>
            <w:r w:rsidR="00F16872">
              <w:rPr>
                <w:rFonts w:asciiTheme="minorHAnsi" w:hAnsiTheme="minorHAnsi" w:cstheme="minorHAnsi"/>
                <w:sz w:val="20"/>
                <w:lang w:val="fr-FR"/>
              </w:rPr>
              <w:t>(s)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F16872">
              <w:rPr>
                <w:rFonts w:asciiTheme="minorHAnsi" w:hAnsiTheme="minorHAnsi" w:cstheme="minorHAnsi"/>
                <w:sz w:val="20"/>
                <w:lang w:val="fr-FR"/>
              </w:rPr>
              <w:t xml:space="preserve">en 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acier, télescopique</w:t>
            </w:r>
            <w:r w:rsidR="004E0E4A" w:rsidRPr="009147FB">
              <w:rPr>
                <w:rFonts w:asciiTheme="minorHAnsi" w:hAnsiTheme="minorHAnsi" w:cstheme="minorHAnsi"/>
                <w:sz w:val="20"/>
                <w:lang w:val="fr-FR"/>
              </w:rPr>
              <w:t>(s)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de quatre mètres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A132CA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Torches (lampes de poche) avec piles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A132CA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Ampoules</w:t>
            </w:r>
            <w:r w:rsidR="009147F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(</w:t>
            </w:r>
            <w:r w:rsidR="00580C6B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de </w:t>
            </w:r>
            <w:r w:rsidR="009147FB" w:rsidRPr="009147FB">
              <w:rPr>
                <w:rFonts w:asciiTheme="minorHAnsi" w:hAnsiTheme="minorHAnsi" w:cstheme="minorHAnsi"/>
                <w:sz w:val="20"/>
                <w:lang w:val="fr-FR"/>
              </w:rPr>
              <w:t>réserve)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A132CA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16872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Générateur suffisant pour alimenter le système d’</w:t>
            </w:r>
            <w:r w:rsidR="00F44425" w:rsidRPr="009147FB">
              <w:rPr>
                <w:rFonts w:asciiTheme="minorHAnsi" w:hAnsiTheme="minorHAnsi" w:cstheme="minorHAnsi"/>
                <w:sz w:val="20"/>
                <w:lang w:val="fr-FR"/>
              </w:rPr>
              <w:t>éclairage et l'équipement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F44425" w:rsidRPr="009147FB" w:rsidRDefault="00F44425" w:rsidP="00A132CA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Serrures avec clés, robustes (pour les portes)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F44425" w:rsidRPr="009147FB" w:rsidRDefault="00F44425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1440"/>
        </w:trPr>
        <w:tc>
          <w:tcPr>
            <w:tcW w:w="236" w:type="dxa"/>
          </w:tcPr>
          <w:p w:rsidR="00BB45D4" w:rsidRPr="009147FB" w:rsidRDefault="00BB45D4" w:rsidP="00B64BD6">
            <w:pPr>
              <w:spacing w:before="120"/>
              <w:jc w:val="right"/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8724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Formulaires pré-imprimés</w:t>
            </w:r>
          </w:p>
          <w:p w:rsidR="008724C1" w:rsidRPr="009147FB" w:rsidRDefault="008724C1" w:rsidP="008724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• Lettres de transport pré-numérotées</w:t>
            </w:r>
          </w:p>
          <w:p w:rsidR="008724C1" w:rsidRPr="009147FB" w:rsidRDefault="009147FB" w:rsidP="008724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fr-FR"/>
              </w:rPr>
              <w:t>• R</w:t>
            </w:r>
            <w:r w:rsidR="008724C1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egistres d'inventaire d'entrepôt</w:t>
            </w:r>
          </w:p>
          <w:p w:rsidR="008724C1" w:rsidRPr="009147FB" w:rsidRDefault="008724C1" w:rsidP="008724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•</w:t>
            </w:r>
            <w:r w:rsid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Fiche de stock et de fumigation</w:t>
            </w:r>
          </w:p>
          <w:p w:rsidR="00BB45D4" w:rsidRPr="009147FB" w:rsidRDefault="008724C1" w:rsidP="008724C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•</w:t>
            </w:r>
            <w:r w:rsid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 xml:space="preserve"> 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R</w:t>
            </w:r>
            <w:r w:rsidR="00D16709"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e</w:t>
            </w:r>
            <w:r w:rsidRPr="009147FB">
              <w:rPr>
                <w:rFonts w:asciiTheme="minorHAnsi" w:hAnsiTheme="minorHAnsi" w:cs="Arial"/>
                <w:sz w:val="20"/>
                <w:szCs w:val="20"/>
                <w:lang w:val="fr-FR"/>
              </w:rPr>
              <w:t>gistre de traitement chimique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BB45D4" w:rsidRPr="009147FB" w:rsidRDefault="00BB45D4" w:rsidP="00B64BD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BB45D4" w:rsidRPr="009147FB" w:rsidRDefault="00BB45D4" w:rsidP="00B64BD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</w:tcPr>
          <w:p w:rsidR="00BB45D4" w:rsidRPr="009147FB" w:rsidRDefault="00BB45D4" w:rsidP="00B64BD6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10530" w:type="dxa"/>
            <w:gridSpan w:val="2"/>
            <w:vAlign w:val="center"/>
          </w:tcPr>
          <w:p w:rsidR="005F79AD" w:rsidRPr="009147FB" w:rsidRDefault="00F16872" w:rsidP="00335FC4">
            <w:pPr>
              <w:rPr>
                <w:rFonts w:asciiTheme="minorHAnsi" w:eastAsiaTheme="minorHAnsi" w:hAnsiTheme="minorHAnsi" w:cstheme="minorBidi"/>
                <w:lang w:val="fr-FR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fr-FR"/>
              </w:rPr>
              <w:t>Empilage</w:t>
            </w:r>
            <w:r w:rsidR="008724C1" w:rsidRPr="009147F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fr-FR"/>
              </w:rPr>
              <w:t xml:space="preserve"> et inspection des piles</w:t>
            </w:r>
          </w:p>
        </w:tc>
        <w:tc>
          <w:tcPr>
            <w:tcW w:w="90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5F79AD" w:rsidRPr="009147FB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5F79AD" w:rsidRPr="009147FB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5F79AD" w:rsidRPr="009147FB" w:rsidRDefault="005F79AD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8724C1" w:rsidRPr="009147FB" w:rsidRDefault="008724C1" w:rsidP="00A132CA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Bâches légères, 1.5m x 2.5m (pour décharger les vivres)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8724C1" w:rsidRPr="009147FB" w:rsidRDefault="008724C1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8724C1" w:rsidRPr="009147FB" w:rsidRDefault="008724C1" w:rsidP="00A132CA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Ruban à mesurer, métal (5m et 50m)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8724C1" w:rsidRPr="009147FB" w:rsidRDefault="008724C1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8724C1" w:rsidRPr="009147FB" w:rsidRDefault="008724C1" w:rsidP="00A132CA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Craie ou peinture (pour délimiter les limites de la pile)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8724C1" w:rsidRPr="009147FB" w:rsidRDefault="008724C1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8724C1" w:rsidRPr="009147FB" w:rsidRDefault="008724C1" w:rsidP="00A132CA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Brouettes </w:t>
            </w:r>
            <w:r w:rsidR="00FA0FCD" w:rsidRPr="009147FB">
              <w:rPr>
                <w:rFonts w:asciiTheme="minorHAnsi" w:hAnsiTheme="minorHAnsi" w:cstheme="minorHAnsi"/>
                <w:sz w:val="20"/>
                <w:lang w:val="fr-FR"/>
              </w:rPr>
              <w:t>à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roue ou chariots à main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8724C1" w:rsidRPr="009147FB" w:rsidRDefault="008724C1" w:rsidP="00A132C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8724C1" w:rsidRPr="009147FB" w:rsidRDefault="008724C1" w:rsidP="00FA00B5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Palettes en bois, 1.2m x 1.2m (Note: taille standard = 1m x 1m)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8724C1" w:rsidRPr="009147FB" w:rsidRDefault="008724C1" w:rsidP="00FA00B5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Bâton de pointage ou compteurs de sacs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8724C1" w:rsidRPr="009147FB" w:rsidRDefault="008724C1" w:rsidP="00FA00B5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Dispositif de lecture de température et d'humidité relative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8724C1" w:rsidRPr="009147FB" w:rsidRDefault="008724C1" w:rsidP="00FA00B5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Loupe 15x (pour identifier les insectes)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837CF5" w:rsidTr="00954A8D">
        <w:trPr>
          <w:trHeight w:val="403"/>
        </w:trPr>
        <w:tc>
          <w:tcPr>
            <w:tcW w:w="236" w:type="dxa"/>
            <w:vAlign w:val="center"/>
          </w:tcPr>
          <w:p w:rsidR="008724C1" w:rsidRPr="009147FB" w:rsidRDefault="008724C1" w:rsidP="00FA00B5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Lampe de poche ultraviolet</w:t>
            </w:r>
            <w:r w:rsidR="00580C6B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(pour localiser les traces d'urine de rongeurs)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8724C1" w:rsidRPr="009147FB" w:rsidRDefault="008724C1" w:rsidP="00FA00B5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Lance d'échantillonnage (pour l'inspection des vivres suspectés endommagés)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8724C1" w:rsidRPr="009147FB" w:rsidRDefault="008724C1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10530" w:type="dxa"/>
            <w:gridSpan w:val="2"/>
            <w:vAlign w:val="center"/>
          </w:tcPr>
          <w:p w:rsidR="00FA00B5" w:rsidRPr="009147FB" w:rsidRDefault="002C6B34" w:rsidP="00FA00B5">
            <w:pPr>
              <w:rPr>
                <w:rFonts w:asciiTheme="minorHAnsi" w:hAnsiTheme="minorHAnsi"/>
                <w:lang w:val="fr-FR"/>
              </w:rPr>
            </w:pPr>
            <w:r w:rsidRPr="009147F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fr-FR"/>
              </w:rPr>
              <w:t>Sécurité</w:t>
            </w:r>
          </w:p>
        </w:tc>
        <w:tc>
          <w:tcPr>
            <w:tcW w:w="90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FA00B5" w:rsidRPr="009147FB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FA00B5" w:rsidRPr="009147FB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FA00B5" w:rsidRPr="009147FB" w:rsidRDefault="00FA00B5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FA00B5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Approvisionnement en eau potable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FA00B5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Trousse de premiers secours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FA00B5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Affiches et signes de sécurité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FA0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F16872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Détecteurs de fumée/</w:t>
            </w:r>
            <w:r w:rsidR="002C6B34" w:rsidRPr="009147FB">
              <w:rPr>
                <w:rFonts w:asciiTheme="minorHAnsi" w:hAnsiTheme="minorHAnsi" w:cstheme="minorHAnsi"/>
                <w:sz w:val="20"/>
                <w:lang w:val="fr-FR"/>
              </w:rPr>
              <w:t>alarmes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Extincteurs (demander conseil aux fournisseurs de services)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Couverture anti-feu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Pelles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Seaux remplis de sable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10530" w:type="dxa"/>
            <w:gridSpan w:val="2"/>
            <w:tcBorders>
              <w:right w:val="single" w:sz="8" w:space="0" w:color="7C8029"/>
            </w:tcBorders>
            <w:vAlign w:val="center"/>
          </w:tcPr>
          <w:p w:rsidR="00254F33" w:rsidRPr="009147FB" w:rsidRDefault="002C6B34" w:rsidP="00254F33">
            <w:pPr>
              <w:rPr>
                <w:rFonts w:asciiTheme="minorHAnsi" w:eastAsiaTheme="minorHAnsi" w:hAnsiTheme="minorHAnsi" w:cstheme="minorBidi"/>
                <w:b/>
                <w:lang w:val="fr-FR"/>
              </w:rPr>
            </w:pPr>
            <w:r w:rsidRPr="009147F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fr-FR"/>
              </w:rPr>
              <w:t>Équipement de protection individuelle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Gants en nitrile jetables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Gants en caoutchouc longs et non doublés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Masques anti</w:t>
            </w:r>
            <w:r w:rsidR="009443CE">
              <w:rPr>
                <w:rFonts w:asciiTheme="minorHAnsi" w:hAnsiTheme="minorHAnsi" w:cstheme="minorHAnsi"/>
                <w:sz w:val="20"/>
                <w:lang w:val="fr-FR"/>
              </w:rPr>
              <w:t>-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poussières, blouses de </w:t>
            </w:r>
            <w:r w:rsidR="00F16872">
              <w:rPr>
                <w:rFonts w:asciiTheme="minorHAnsi" w:hAnsiTheme="minorHAnsi" w:cstheme="minorHAnsi"/>
                <w:sz w:val="20"/>
                <w:lang w:val="fr-FR"/>
              </w:rPr>
              <w:t xml:space="preserve">protection contre la 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poussière/tabliers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Combinaisons de protection étanches aux liquides et à manches longues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BE1E0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Bonnets</w:t>
            </w:r>
            <w:r w:rsidR="002C6B34" w:rsidRPr="009147FB">
              <w:rPr>
                <w:rFonts w:asciiTheme="minorHAnsi" w:hAnsiTheme="minorHAnsi" w:cstheme="minorHAnsi"/>
                <w:sz w:val="20"/>
                <w:lang w:val="fr-FR"/>
              </w:rPr>
              <w:t>/casques durs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Bottes en caoutchouc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954A8D" w:rsidRPr="009147FB" w:rsidTr="00954A8D">
        <w:trPr>
          <w:trHeight w:val="403"/>
        </w:trPr>
        <w:tc>
          <w:tcPr>
            <w:tcW w:w="236" w:type="dxa"/>
            <w:vAlign w:val="center"/>
          </w:tcPr>
          <w:p w:rsidR="00954A8D" w:rsidRPr="009147FB" w:rsidRDefault="00954A8D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954A8D" w:rsidRPr="009147FB" w:rsidRDefault="00954A8D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954A8D" w:rsidRPr="009147FB" w:rsidRDefault="00954A8D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954A8D" w:rsidRPr="009147FB" w:rsidRDefault="00954A8D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954A8D" w:rsidRPr="009147FB" w:rsidRDefault="00954A8D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10530" w:type="dxa"/>
            <w:gridSpan w:val="2"/>
            <w:vAlign w:val="center"/>
          </w:tcPr>
          <w:p w:rsidR="00254F33" w:rsidRPr="009147FB" w:rsidRDefault="002C6B34" w:rsidP="00335FC4">
            <w:pPr>
              <w:rPr>
                <w:rFonts w:asciiTheme="minorHAnsi" w:eastAsiaTheme="minorHAnsi" w:hAnsiTheme="minorHAnsi" w:cstheme="minorBidi"/>
                <w:lang w:val="fr-FR"/>
              </w:rPr>
            </w:pPr>
            <w:r w:rsidRPr="009147F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fr-FR"/>
              </w:rPr>
              <w:lastRenderedPageBreak/>
              <w:t>Nettoyage et entretien</w:t>
            </w:r>
          </w:p>
        </w:tc>
        <w:tc>
          <w:tcPr>
            <w:tcW w:w="90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Faucilles (pour couper l'herbe)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9147FB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Râteaux/</w:t>
            </w:r>
            <w:r w:rsidR="00FA0FCD" w:rsidRPr="009147FB">
              <w:rPr>
                <w:rFonts w:asciiTheme="minorHAnsi" w:hAnsiTheme="minorHAnsi" w:cstheme="minorHAnsi"/>
                <w:sz w:val="20"/>
                <w:lang w:val="fr-FR"/>
              </w:rPr>
              <w:t>housse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Balai dur avec poignée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Balais mous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E926C6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Balai pour</w:t>
            </w:r>
            <w:r w:rsidR="002C6B34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toile d'araignée avec manche en bois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9147FB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Dépoussiérant/p</w:t>
            </w:r>
            <w:r w:rsidR="002C6B34" w:rsidRPr="009147FB">
              <w:rPr>
                <w:rFonts w:asciiTheme="minorHAnsi" w:hAnsiTheme="minorHAnsi" w:cstheme="minorHAnsi"/>
                <w:sz w:val="20"/>
                <w:lang w:val="fr-FR"/>
              </w:rPr>
              <w:t>lumeaux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Balais et seaux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Aspirateur (pour nettoyer sous les piles)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Poubelles, 20 litres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9147FB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Pièges/</w:t>
            </w:r>
            <w:r w:rsidR="002C6B34" w:rsidRPr="009147FB">
              <w:rPr>
                <w:rFonts w:asciiTheme="minorHAnsi" w:hAnsiTheme="minorHAnsi" w:cstheme="minorHAnsi"/>
                <w:sz w:val="20"/>
                <w:lang w:val="fr-FR"/>
              </w:rPr>
              <w:t>colle</w:t>
            </w:r>
            <w:r>
              <w:rPr>
                <w:rFonts w:asciiTheme="minorHAnsi" w:hAnsiTheme="minorHAnsi" w:cstheme="minorHAnsi"/>
                <w:sz w:val="20"/>
                <w:lang w:val="fr-FR"/>
              </w:rPr>
              <w:t xml:space="preserve"> à rat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576"/>
        </w:trPr>
        <w:tc>
          <w:tcPr>
            <w:tcW w:w="236" w:type="dxa"/>
            <w:vAlign w:val="center"/>
          </w:tcPr>
          <w:p w:rsidR="002C6B34" w:rsidRPr="009147FB" w:rsidRDefault="002C6B34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E926C6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Boîte à outils contenant des accessoires</w:t>
            </w:r>
            <w:r w:rsidR="002C6B34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pour les réparations de base de l'entrepôt et une maintenance simple (pied de biche, scie à métaux, marteau, tournevis)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C6B34" w:rsidRPr="009147FB" w:rsidRDefault="002C6B34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10530" w:type="dxa"/>
            <w:gridSpan w:val="2"/>
            <w:tcBorders>
              <w:right w:val="single" w:sz="8" w:space="0" w:color="7C8029"/>
            </w:tcBorders>
            <w:vAlign w:val="center"/>
          </w:tcPr>
          <w:p w:rsidR="00254F33" w:rsidRPr="009147FB" w:rsidRDefault="002C6B34" w:rsidP="00254F33">
            <w:pPr>
              <w:rPr>
                <w:rFonts w:asciiTheme="minorHAnsi" w:hAnsiTheme="minorHAnsi" w:cstheme="minorHAnsi"/>
                <w:lang w:val="fr-FR"/>
              </w:rPr>
            </w:pPr>
            <w:r w:rsidRPr="009147FB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t>Fumigation (par projet de plan de gestion de la fumigation)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E926C6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Bâches</w:t>
            </w:r>
            <w:r w:rsidR="00213987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de fumigation PVC (bâches imperméables aux gaz), 8m x 12m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Agrafes ou ruban adhésif (pour sceller les </w:t>
            </w:r>
            <w:r w:rsidR="00E926C6">
              <w:rPr>
                <w:rFonts w:asciiTheme="minorHAnsi" w:hAnsiTheme="minorHAnsi" w:cstheme="minorHAnsi"/>
                <w:sz w:val="20"/>
                <w:lang w:val="fr-FR"/>
              </w:rPr>
              <w:t>bâches entre elles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BE1E0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Boudins de sable</w:t>
            </w:r>
            <w:r w:rsidR="00213987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(suffisant pour placer la double rangée autour de toutes les piles)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Gants en coton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Masques respiratoires complets </w:t>
            </w:r>
            <w:r w:rsidR="00E926C6">
              <w:rPr>
                <w:rFonts w:asciiTheme="minorHAnsi" w:hAnsiTheme="minorHAnsi" w:cstheme="minorHAnsi"/>
                <w:sz w:val="20"/>
                <w:lang w:val="fr-FR"/>
              </w:rPr>
              <w:t xml:space="preserve">avec </w:t>
            </w:r>
            <w:r w:rsidR="009443CE">
              <w:rPr>
                <w:rFonts w:asciiTheme="minorHAnsi" w:hAnsiTheme="minorHAnsi" w:cstheme="minorHAnsi"/>
                <w:sz w:val="20"/>
                <w:lang w:val="fr-FR"/>
              </w:rPr>
              <w:t>filtre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443CE" w:rsidRDefault="009443CE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Filtres</w:t>
            </w:r>
            <w:r w:rsidRPr="009443C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remplacement désigné pour le PH</w:t>
            </w:r>
            <w:r w:rsidRPr="009443CE">
              <w:rPr>
                <w:rFonts w:asciiTheme="minorHAnsi" w:hAnsiTheme="minorHAnsi"/>
                <w:sz w:val="20"/>
                <w:szCs w:val="20"/>
                <w:vertAlign w:val="subscript"/>
                <w:lang w:val="fr-FR"/>
              </w:rPr>
              <w:t>3</w:t>
            </w:r>
            <w:r w:rsidRPr="009443CE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(phosphine)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Équipement personnel de détection de gaz de phosphine (électrochimique, photo-ionisation, ou </w:t>
            </w:r>
            <w:r w:rsidR="009443CE">
              <w:rPr>
                <w:rFonts w:asciiTheme="minorHAnsi" w:hAnsiTheme="minorHAnsi" w:cstheme="minorHAnsi"/>
                <w:sz w:val="20"/>
                <w:lang w:val="fr-FR"/>
              </w:rPr>
              <w:t>en tube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Tambour de désactivation à sec avec évent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10530" w:type="dxa"/>
            <w:gridSpan w:val="2"/>
            <w:vAlign w:val="center"/>
          </w:tcPr>
          <w:p w:rsidR="00254F33" w:rsidRPr="009147FB" w:rsidRDefault="00254F33" w:rsidP="00213987">
            <w:pPr>
              <w:rPr>
                <w:rFonts w:asciiTheme="minorHAnsi" w:eastAsiaTheme="minorHAnsi" w:hAnsiTheme="minorHAnsi" w:cstheme="minorBidi"/>
                <w:lang w:val="fr-FR"/>
              </w:rPr>
            </w:pPr>
            <w:r w:rsidRPr="009147F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fr-FR"/>
              </w:rPr>
              <w:t>Recon</w:t>
            </w:r>
            <w:r w:rsidR="00213987" w:rsidRPr="009147FB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fr-FR"/>
              </w:rPr>
              <w:t>ditionnement</w:t>
            </w:r>
          </w:p>
        </w:tc>
        <w:tc>
          <w:tcPr>
            <w:tcW w:w="90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Sacs vides, capacité de 25 kg, avec doublures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Bidons métalliques/en plastique vides, 20 litres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Machine à coudre pour sacs et accessoires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Tamis en bois, 1m x 0.5m (pour le grain)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Tamis en bois, 1m x 0.5m, maille plus fine (pour les vivres fraisés)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Grandes bâches et/ou bâches en plastique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Sacs vides, capacité de 50 kg, sans doublures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Fil à coudre/ficelle/corde (pour coudre)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E926C6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Grandes aiguilles pour coudre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Couteaux pour couper les sacs (</w:t>
            </w:r>
            <w:r w:rsidR="00E926C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solides</w:t>
            </w: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fabriqués localement)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Cuillères en </w:t>
            </w:r>
            <w:r w:rsidR="00D71446"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</w:t>
            </w:r>
            <w:r w:rsidR="00D71446" w:rsidRPr="009147FB">
              <w:rPr>
                <w:rFonts w:ascii="Calibri" w:hAnsi="Calibri" w:cstheme="minorHAnsi"/>
                <w:sz w:val="20"/>
                <w:szCs w:val="20"/>
                <w:lang w:val="fr-FR"/>
              </w:rPr>
              <w:t>é</w:t>
            </w:r>
            <w:r w:rsidR="00D71446"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tal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BE1E07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Ruban </w:t>
            </w:r>
            <w:r w:rsidR="00213987"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d'étanchéité, de préférence avec le logo de l'USAID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10530" w:type="dxa"/>
            <w:gridSpan w:val="2"/>
            <w:vAlign w:val="center"/>
          </w:tcPr>
          <w:p w:rsidR="00254F33" w:rsidRPr="009147FB" w:rsidRDefault="00213987" w:rsidP="00254F33">
            <w:pPr>
              <w:rPr>
                <w:rFonts w:asciiTheme="minorHAnsi" w:hAnsiTheme="minorHAnsi"/>
                <w:lang w:val="fr-FR"/>
              </w:rPr>
            </w:pPr>
            <w:r w:rsidRPr="009147FB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Matériel de bureau</w:t>
            </w:r>
          </w:p>
        </w:tc>
        <w:tc>
          <w:tcPr>
            <w:tcW w:w="90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Chaises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Tables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Tableau blanc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Classeur en métal, quatre tiroirs avec serrure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Bibliothèque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Poubelles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Matériel de communication (smartphones)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9443CE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Onduleur</w:t>
            </w:r>
            <w:r w:rsidR="00213987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(1200W si l'ordinateur est un modèle de bureau)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BE1E0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O</w:t>
            </w:r>
            <w:r w:rsidR="00213987" w:rsidRPr="009147FB">
              <w:rPr>
                <w:rFonts w:asciiTheme="minorHAnsi" w:hAnsiTheme="minorHAnsi" w:cstheme="minorHAnsi"/>
                <w:sz w:val="20"/>
                <w:lang w:val="fr-FR"/>
              </w:rPr>
              <w:t>rdinateurs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7A736A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Logiciel (suivi des vivres</w:t>
            </w:r>
            <w:r w:rsidR="00213987" w:rsidRPr="009147FB">
              <w:rPr>
                <w:rFonts w:asciiTheme="minorHAnsi" w:hAnsiTheme="minorHAnsi" w:cstheme="minorHAnsi"/>
                <w:sz w:val="20"/>
                <w:lang w:val="fr-FR"/>
              </w:rPr>
              <w:t>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Tablettes électroniques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Imprimante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9443CE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Photocopieuse/</w:t>
            </w:r>
            <w:r w:rsidR="00213987" w:rsidRPr="009147FB">
              <w:rPr>
                <w:rFonts w:asciiTheme="minorHAnsi" w:hAnsiTheme="minorHAnsi" w:cstheme="minorHAnsi"/>
                <w:sz w:val="20"/>
                <w:lang w:val="fr-FR"/>
              </w:rPr>
              <w:t>scanner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Protecteurs de surtension</w:t>
            </w:r>
            <w:r w:rsidR="00E05F50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/ paratonnerre</w:t>
            </w:r>
            <w:r w:rsidR="00F03F69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r w:rsidR="009147FB" w:rsidRPr="009147FB">
              <w:rPr>
                <w:rFonts w:asciiTheme="minorHAnsi" w:hAnsiTheme="minorHAnsi" w:cstheme="minorHAnsi"/>
                <w:sz w:val="20"/>
                <w:lang w:val="fr-FR"/>
              </w:rPr>
              <w:t>régulateurs</w:t>
            </w:r>
            <w:r w:rsidR="00F03F69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de tension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13987" w:rsidRPr="009147FB" w:rsidRDefault="00213987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Appareils photo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13987" w:rsidRPr="009147FB" w:rsidRDefault="00213987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10530" w:type="dxa"/>
            <w:gridSpan w:val="2"/>
            <w:vAlign w:val="center"/>
          </w:tcPr>
          <w:p w:rsidR="00254F33" w:rsidRPr="009147FB" w:rsidRDefault="007A736A" w:rsidP="001D1913">
            <w:pPr>
              <w:rPr>
                <w:rFonts w:asciiTheme="minorHAnsi" w:hAnsiTheme="minorHAnsi"/>
                <w:lang w:val="fr-FR"/>
              </w:rPr>
            </w:pPr>
            <w:r w:rsidRPr="009147FB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Fournitures de bureau</w:t>
            </w:r>
          </w:p>
        </w:tc>
        <w:tc>
          <w:tcPr>
            <w:tcW w:w="900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bottom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Calculatrices à 12 chiffres (une pour chaque membre du personnel d'entrepôt)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Cartouches d'encre d'imprimante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9443CE" w:rsidRPr="009443CE" w:rsidTr="00954A8D">
        <w:trPr>
          <w:trHeight w:val="403"/>
        </w:trPr>
        <w:tc>
          <w:tcPr>
            <w:tcW w:w="236" w:type="dxa"/>
            <w:vAlign w:val="center"/>
          </w:tcPr>
          <w:p w:rsidR="009443CE" w:rsidRPr="009147FB" w:rsidRDefault="009443CE" w:rsidP="009443CE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9443CE" w:rsidRPr="009443CE" w:rsidRDefault="009443CE" w:rsidP="00954A8D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9443CE">
              <w:rPr>
                <w:rFonts w:asciiTheme="minorHAnsi" w:hAnsiTheme="minorHAnsi"/>
                <w:sz w:val="20"/>
                <w:szCs w:val="20"/>
                <w:lang w:val="fr-FR"/>
              </w:rPr>
              <w:t>Fichiers de levier d'arc ou fichiers de classement en « boîte »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9443CE" w:rsidRPr="009147FB" w:rsidRDefault="009443CE" w:rsidP="009443C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9443CE" w:rsidRPr="009147FB" w:rsidRDefault="009443CE" w:rsidP="009443C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9443CE" w:rsidRPr="009147FB" w:rsidRDefault="009443CE" w:rsidP="009443C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Tableaux de conversion des poids et mesures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R</w:t>
            </w:r>
            <w:r w:rsidR="00E926C6">
              <w:rPr>
                <w:rFonts w:asciiTheme="minorHAnsi" w:hAnsiTheme="minorHAnsi" w:cstheme="minorHAnsi"/>
                <w:sz w:val="20"/>
                <w:lang w:val="fr-FR"/>
              </w:rPr>
              <w:t>épertoires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cartonnés (pour </w:t>
            </w:r>
            <w:r w:rsidR="00E926C6">
              <w:rPr>
                <w:rFonts w:asciiTheme="minorHAnsi" w:hAnsiTheme="minorHAnsi" w:cstheme="minorHAnsi"/>
                <w:sz w:val="20"/>
                <w:lang w:val="fr-FR"/>
              </w:rPr>
              <w:t xml:space="preserve">servir de 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r</w:t>
            </w:r>
            <w:r w:rsidR="00BE1E07" w:rsidRPr="009147FB">
              <w:rPr>
                <w:rFonts w:asciiTheme="minorHAnsi" w:hAnsiTheme="minorHAnsi" w:cstheme="minorHAnsi"/>
                <w:sz w:val="20"/>
                <w:lang w:val="fr-FR"/>
              </w:rPr>
              <w:t>e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gistres)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Papeterie (papier à lettres, papier d'imprimante, cahiers)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9147FB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Crayons stylos à bille/</w:t>
            </w:r>
            <w:r w:rsidR="007A736A" w:rsidRPr="009147FB">
              <w:rPr>
                <w:rFonts w:asciiTheme="minorHAnsi" w:hAnsiTheme="minorHAnsi" w:cstheme="minorHAnsi"/>
                <w:sz w:val="20"/>
                <w:lang w:val="fr-FR"/>
              </w:rPr>
              <w:t>marqueurs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Tampons encreurs et timbres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Perforateur de papier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Dossiers de fichiers et classeurs de rangement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32"/>
        </w:trPr>
        <w:tc>
          <w:tcPr>
            <w:tcW w:w="10530" w:type="dxa"/>
            <w:gridSpan w:val="2"/>
            <w:shd w:val="clear" w:color="auto" w:fill="BCC589"/>
            <w:vAlign w:val="center"/>
          </w:tcPr>
          <w:p w:rsidR="00254F33" w:rsidRPr="009147FB" w:rsidRDefault="001D1913" w:rsidP="001D1913">
            <w:pPr>
              <w:rPr>
                <w:rFonts w:asciiTheme="minorHAnsi" w:hAnsiTheme="minorHAnsi" w:cs="Arial"/>
                <w:lang w:val="fr-FR"/>
              </w:rPr>
            </w:pPr>
            <w:r w:rsidRPr="009147FB">
              <w:rPr>
                <w:rFonts w:asciiTheme="minorHAnsi" w:hAnsiTheme="minorHAnsi" w:cs="Arial"/>
                <w:b/>
                <w:bCs/>
                <w:caps/>
                <w:sz w:val="22"/>
                <w:szCs w:val="22"/>
                <w:lang w:val="fr-FR"/>
              </w:rPr>
              <w:t>Distribution</w:t>
            </w:r>
          </w:p>
        </w:tc>
        <w:tc>
          <w:tcPr>
            <w:tcW w:w="900" w:type="dxa"/>
            <w:shd w:val="clear" w:color="auto" w:fill="BCC589"/>
            <w:vAlign w:val="center"/>
          </w:tcPr>
          <w:p w:rsidR="00254F33" w:rsidRPr="009147FB" w:rsidRDefault="00254F33" w:rsidP="00254F33">
            <w:pPr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</w:p>
        </w:tc>
        <w:tc>
          <w:tcPr>
            <w:tcW w:w="1009" w:type="dxa"/>
            <w:shd w:val="clear" w:color="auto" w:fill="BCC589"/>
            <w:vAlign w:val="center"/>
          </w:tcPr>
          <w:p w:rsidR="00254F33" w:rsidRPr="009147FB" w:rsidRDefault="00254F33" w:rsidP="00254F33">
            <w:pPr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</w:p>
        </w:tc>
        <w:tc>
          <w:tcPr>
            <w:tcW w:w="1169" w:type="dxa"/>
            <w:shd w:val="clear" w:color="auto" w:fill="BCC589"/>
            <w:vAlign w:val="center"/>
          </w:tcPr>
          <w:p w:rsidR="00254F33" w:rsidRPr="009147FB" w:rsidRDefault="00254F33" w:rsidP="00254F33">
            <w:pPr>
              <w:rPr>
                <w:rFonts w:asciiTheme="minorHAnsi" w:hAnsiTheme="minorHAnsi" w:cs="Arial"/>
                <w:b/>
                <w:bCs/>
                <w:caps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9147FB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Coûts du site/c</w:t>
            </w:r>
            <w:r w:rsidR="007A736A"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entre de distribution (le cas échéant)</w:t>
            </w:r>
          </w:p>
        </w:tc>
        <w:tc>
          <w:tcPr>
            <w:tcW w:w="900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Location et entretien du </w:t>
            </w:r>
            <w:r w:rsidR="00E926C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lieu de </w:t>
            </w: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stockage, le cas échéant, sur le site de distribution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Radios/téléphones </w:t>
            </w:r>
            <w:r w:rsidR="00E926C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mobiles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Ordinateurs portables/tablettes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Logiciel (base de données pour la liste des r</w:t>
            </w:r>
            <w:r w:rsidR="00D71446"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é</w:t>
            </w: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cipiendaires)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Marqueur Artline ou craie (pour marquer les zones ou acheminer les vivres)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Bâches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Corde (nylon et jute) pour contrôler les files d'attente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9147FB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Piquets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Marteau de 1 kg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Tissu et poteaux (pour </w:t>
            </w:r>
            <w:r w:rsidR="00E926C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aménager</w:t>
            </w: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la zone d'allaitement)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576"/>
        </w:trPr>
        <w:tc>
          <w:tcPr>
            <w:tcW w:w="236" w:type="dxa"/>
            <w:vAlign w:val="center"/>
          </w:tcPr>
          <w:p w:rsidR="007A736A" w:rsidRPr="009147FB" w:rsidRDefault="007A736A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E926C6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Enseignes</w:t>
            </w:r>
            <w:r w:rsidR="007A736A"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pour marquer les zones des points de distribution (entrée, sortie,  faire la queue ici, Coin des femmes en état et celles allaitant</w:t>
            </w:r>
            <w:r w:rsidR="00BE1E07"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</w:t>
            </w:r>
            <w:r w:rsidR="007A736A"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eau potable, toilettes)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="Calibri" w:hAnsi="Calibri"/>
                <w:bCs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="Calibri" w:hAnsi="Calibri"/>
                <w:bCs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7A736A" w:rsidRPr="009147FB" w:rsidRDefault="007A736A" w:rsidP="00254F33">
            <w:pPr>
              <w:rPr>
                <w:rFonts w:ascii="Calibri" w:hAnsi="Calibri"/>
                <w:bCs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Planches de ration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9443CE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Enseignes</w:t>
            </w:r>
            <w:r w:rsidR="002F067F" w:rsidRPr="009147FB">
              <w:rPr>
                <w:rFonts w:asciiTheme="minorHAnsi" w:hAnsiTheme="minorHAnsi" w:cstheme="minorHAnsi"/>
                <w:sz w:val="20"/>
                <w:lang w:val="fr-FR"/>
              </w:rPr>
              <w:t xml:space="preserve"> du donateur et, le cas échéant, des partenaires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Boîte à suggestions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Mégaphones/sifflets (pour le contrôle des foules)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Boîte de premiers soins, entièrement stockée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Tables et chaises en plastique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T-shirts, chapeaux ou bandes de bras (pour identifier le personnel de distribution)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Planchettes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Agrafeuse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Calculatrice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Livre blanc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Crayons/stylos/marqueurs permanents (pour marquer les cartes de ration)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Perforateur (pour marquer les cartes de ration)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Tampon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Matériel de mesure anthropométrique (le cas échéant)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Couteau/cutteur (pour ouvrir les sacs, les cartons et les boîtes)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Matériel de reconditionnement (aiguilles, ficelle, sacs vides et ruban adhésif)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9443CE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>
              <w:rPr>
                <w:rFonts w:asciiTheme="minorHAnsi" w:hAnsiTheme="minorHAnsi" w:cstheme="minorHAnsi"/>
                <w:sz w:val="20"/>
                <w:lang w:val="fr-FR"/>
              </w:rPr>
              <w:t>Balances calibrées/</w:t>
            </w:r>
            <w:r w:rsidR="002F067F" w:rsidRPr="009147FB">
              <w:rPr>
                <w:rFonts w:asciiTheme="minorHAnsi" w:hAnsiTheme="minorHAnsi" w:cstheme="minorHAnsi"/>
                <w:sz w:val="20"/>
                <w:lang w:val="fr-FR"/>
              </w:rPr>
              <w:t>suspendues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443CE" w:rsidTr="00954A8D">
        <w:trPr>
          <w:trHeight w:val="403"/>
        </w:trPr>
        <w:tc>
          <w:tcPr>
            <w:tcW w:w="236" w:type="dxa"/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954A8D">
            <w:pPr>
              <w:rPr>
                <w:rFonts w:asciiTheme="minorHAnsi" w:hAnsiTheme="minorHAnsi" w:cstheme="minorHAnsi"/>
                <w:sz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Mesurettes, calibré</w:t>
            </w:r>
            <w:r w:rsidR="00203018" w:rsidRPr="009147FB">
              <w:rPr>
                <w:rFonts w:asciiTheme="minorHAnsi" w:hAnsiTheme="minorHAnsi" w:cstheme="minorHAnsi"/>
                <w:sz w:val="20"/>
                <w:lang w:val="fr-FR"/>
              </w:rPr>
              <w:t>e</w:t>
            </w:r>
            <w:r w:rsidRPr="009147FB">
              <w:rPr>
                <w:rFonts w:asciiTheme="minorHAnsi" w:hAnsiTheme="minorHAnsi" w:cstheme="minorHAnsi"/>
                <w:sz w:val="20"/>
                <w:lang w:val="fr-FR"/>
              </w:rPr>
              <w:t>s pour chaque type de vivres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F067F" w:rsidRPr="009147FB" w:rsidRDefault="002F067F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D16709" w:rsidRPr="009147FB" w:rsidTr="00954A8D">
        <w:trPr>
          <w:trHeight w:val="403"/>
        </w:trPr>
        <w:tc>
          <w:tcPr>
            <w:tcW w:w="236" w:type="dxa"/>
            <w:vAlign w:val="center"/>
          </w:tcPr>
          <w:p w:rsidR="00254F33" w:rsidRPr="009147FB" w:rsidRDefault="00254F33" w:rsidP="00254F33">
            <w:pPr>
              <w:rPr>
                <w:rFonts w:asciiTheme="minorHAnsi" w:eastAsiaTheme="minorHAnsi" w:hAnsiTheme="minorHAnsi" w:cstheme="minorBidi"/>
                <w:lang w:val="fr-FR"/>
              </w:rPr>
            </w:pPr>
          </w:p>
        </w:tc>
        <w:tc>
          <w:tcPr>
            <w:tcW w:w="10294" w:type="dxa"/>
            <w:tcBorders>
              <w:top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147FB" w:rsidRDefault="002F067F" w:rsidP="00954A8D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9147F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Gants jetables</w:t>
            </w:r>
          </w:p>
        </w:tc>
        <w:tc>
          <w:tcPr>
            <w:tcW w:w="900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00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69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</w:tcBorders>
            <w:vAlign w:val="center"/>
          </w:tcPr>
          <w:p w:rsidR="00254F33" w:rsidRPr="009147FB" w:rsidRDefault="00254F33" w:rsidP="00254F33">
            <w:pPr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:rsidR="007D6824" w:rsidRPr="009147FB" w:rsidRDefault="007D6824" w:rsidP="000060B4">
      <w:pPr>
        <w:autoSpaceDE w:val="0"/>
        <w:autoSpaceDN w:val="0"/>
        <w:adjustRightInd w:val="0"/>
        <w:spacing w:before="240" w:after="120"/>
        <w:rPr>
          <w:lang w:val="fr-FR"/>
        </w:rPr>
      </w:pPr>
    </w:p>
    <w:sectPr w:rsidR="007D6824" w:rsidRPr="009147FB" w:rsidSect="00BB45D4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85" w:rsidRDefault="00BE4485" w:rsidP="00D85F72">
      <w:r>
        <w:separator/>
      </w:r>
    </w:p>
  </w:endnote>
  <w:endnote w:type="continuationSeparator" w:id="0">
    <w:p w:rsidR="00BE4485" w:rsidRDefault="00BE4485" w:rsidP="00D8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NEJB F+ 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1206243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C634B" w:rsidRPr="001C7A37" w:rsidRDefault="00CC634B" w:rsidP="00D85F72">
            <w:pPr>
              <w:pStyle w:val="Footer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7A37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1C7A3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1C7A37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1C7A3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54A8D">
              <w:rPr>
                <w:rFonts w:asciiTheme="minorHAnsi" w:hAnsiTheme="minorHAnsi"/>
                <w:noProof/>
                <w:sz w:val="20"/>
                <w:szCs w:val="20"/>
              </w:rPr>
              <w:t>12</w:t>
            </w:r>
            <w:r w:rsidRPr="001C7A3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C7A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1C7A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C7A37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1C7A37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1C7A3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54A8D">
              <w:rPr>
                <w:rFonts w:asciiTheme="minorHAnsi" w:hAnsiTheme="minorHAnsi"/>
                <w:noProof/>
                <w:sz w:val="20"/>
                <w:szCs w:val="20"/>
              </w:rPr>
              <w:t>12</w:t>
            </w:r>
            <w:r w:rsidRPr="001C7A3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85" w:rsidRDefault="00BE4485" w:rsidP="00D85F72">
      <w:r>
        <w:separator/>
      </w:r>
    </w:p>
  </w:footnote>
  <w:footnote w:type="continuationSeparator" w:id="0">
    <w:p w:rsidR="00BE4485" w:rsidRDefault="00BE4485" w:rsidP="00D8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34B" w:rsidRPr="009147FB" w:rsidRDefault="00CC634B" w:rsidP="00D85F72">
    <w:pPr>
      <w:pStyle w:val="Header"/>
      <w:jc w:val="center"/>
      <w:rPr>
        <w:rFonts w:asciiTheme="minorHAnsi" w:hAnsiTheme="minorHAnsi"/>
        <w:b/>
        <w:sz w:val="28"/>
        <w:szCs w:val="28"/>
        <w:lang w:val="fr-FR"/>
      </w:rPr>
    </w:pPr>
    <w:r w:rsidRPr="009147FB">
      <w:rPr>
        <w:rFonts w:asciiTheme="minorHAnsi" w:hAnsiTheme="minorHAnsi"/>
        <w:b/>
        <w:bCs/>
        <w:color w:val="237990"/>
        <w:sz w:val="28"/>
        <w:szCs w:val="28"/>
        <w:lang w:val="fr-FR"/>
      </w:rPr>
      <w:t xml:space="preserve">FEUILLE DE CALCUL pour la préparation du budget GV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8A0"/>
    <w:multiLevelType w:val="hybridMultilevel"/>
    <w:tmpl w:val="25A0F548"/>
    <w:lvl w:ilvl="0" w:tplc="08C00784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6605260"/>
    <w:multiLevelType w:val="multilevel"/>
    <w:tmpl w:val="E94E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E1B13"/>
    <w:multiLevelType w:val="hybridMultilevel"/>
    <w:tmpl w:val="9FEE1850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D5281"/>
    <w:multiLevelType w:val="hybridMultilevel"/>
    <w:tmpl w:val="E0C20CE4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D1FD0"/>
    <w:multiLevelType w:val="hybridMultilevel"/>
    <w:tmpl w:val="4F80499C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B0A65"/>
    <w:multiLevelType w:val="hybridMultilevel"/>
    <w:tmpl w:val="0FCC4282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714CF0"/>
    <w:multiLevelType w:val="hybridMultilevel"/>
    <w:tmpl w:val="FA0E817A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8917E3"/>
    <w:multiLevelType w:val="hybridMultilevel"/>
    <w:tmpl w:val="1AD8513C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407E1"/>
    <w:multiLevelType w:val="hybridMultilevel"/>
    <w:tmpl w:val="C6F8BED0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84F4E"/>
    <w:multiLevelType w:val="hybridMultilevel"/>
    <w:tmpl w:val="5472F744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28369B"/>
    <w:multiLevelType w:val="hybridMultilevel"/>
    <w:tmpl w:val="4B241FBE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12EEC"/>
    <w:multiLevelType w:val="hybridMultilevel"/>
    <w:tmpl w:val="B3C886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E5226"/>
    <w:multiLevelType w:val="hybridMultilevel"/>
    <w:tmpl w:val="87FA0E68"/>
    <w:lvl w:ilvl="0" w:tplc="08C00784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9E0A1F"/>
    <w:multiLevelType w:val="multilevel"/>
    <w:tmpl w:val="E17A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263AC"/>
    <w:multiLevelType w:val="hybridMultilevel"/>
    <w:tmpl w:val="1ABACF94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917E33"/>
    <w:multiLevelType w:val="hybridMultilevel"/>
    <w:tmpl w:val="7CECD810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1248E7"/>
    <w:multiLevelType w:val="hybridMultilevel"/>
    <w:tmpl w:val="31FCDD1C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E64F54"/>
    <w:multiLevelType w:val="hybridMultilevel"/>
    <w:tmpl w:val="35F69916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672525"/>
    <w:multiLevelType w:val="hybridMultilevel"/>
    <w:tmpl w:val="76D08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E0785"/>
    <w:multiLevelType w:val="hybridMultilevel"/>
    <w:tmpl w:val="579A1BBA"/>
    <w:lvl w:ilvl="0" w:tplc="229C3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E7B1B"/>
    <w:multiLevelType w:val="hybridMultilevel"/>
    <w:tmpl w:val="F5988F62"/>
    <w:lvl w:ilvl="0" w:tplc="08C00784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4"/>
  </w:num>
  <w:num w:numId="5">
    <w:abstractNumId w:val="3"/>
  </w:num>
  <w:num w:numId="6">
    <w:abstractNumId w:val="17"/>
  </w:num>
  <w:num w:numId="7">
    <w:abstractNumId w:val="10"/>
  </w:num>
  <w:num w:numId="8">
    <w:abstractNumId w:val="4"/>
  </w:num>
  <w:num w:numId="9">
    <w:abstractNumId w:val="7"/>
  </w:num>
  <w:num w:numId="10">
    <w:abstractNumId w:val="16"/>
  </w:num>
  <w:num w:numId="11">
    <w:abstractNumId w:val="19"/>
  </w:num>
  <w:num w:numId="12">
    <w:abstractNumId w:val="5"/>
  </w:num>
  <w:num w:numId="13">
    <w:abstractNumId w:val="15"/>
  </w:num>
  <w:num w:numId="14">
    <w:abstractNumId w:val="12"/>
  </w:num>
  <w:num w:numId="15">
    <w:abstractNumId w:val="20"/>
  </w:num>
  <w:num w:numId="16">
    <w:abstractNumId w:val="0"/>
  </w:num>
  <w:num w:numId="17">
    <w:abstractNumId w:val="8"/>
  </w:num>
  <w:num w:numId="18">
    <w:abstractNumId w:val="1"/>
  </w:num>
  <w:num w:numId="19">
    <w:abstractNumId w:val="1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98"/>
    <w:rsid w:val="00001108"/>
    <w:rsid w:val="000060B4"/>
    <w:rsid w:val="00013F72"/>
    <w:rsid w:val="00026341"/>
    <w:rsid w:val="00033490"/>
    <w:rsid w:val="00033999"/>
    <w:rsid w:val="0005286D"/>
    <w:rsid w:val="00072402"/>
    <w:rsid w:val="000843CC"/>
    <w:rsid w:val="00095C9F"/>
    <w:rsid w:val="000A3470"/>
    <w:rsid w:val="000B3898"/>
    <w:rsid w:val="000B3DD7"/>
    <w:rsid w:val="000B4F25"/>
    <w:rsid w:val="000B75D5"/>
    <w:rsid w:val="00114675"/>
    <w:rsid w:val="00117260"/>
    <w:rsid w:val="00123D80"/>
    <w:rsid w:val="001326FD"/>
    <w:rsid w:val="001443BA"/>
    <w:rsid w:val="00156591"/>
    <w:rsid w:val="00165D64"/>
    <w:rsid w:val="00170DE4"/>
    <w:rsid w:val="0018682C"/>
    <w:rsid w:val="001A1B4D"/>
    <w:rsid w:val="001A7EC5"/>
    <w:rsid w:val="001B14ED"/>
    <w:rsid w:val="001C7A37"/>
    <w:rsid w:val="001D1913"/>
    <w:rsid w:val="001E129E"/>
    <w:rsid w:val="001F5882"/>
    <w:rsid w:val="00203018"/>
    <w:rsid w:val="00204942"/>
    <w:rsid w:val="00213987"/>
    <w:rsid w:val="002243F3"/>
    <w:rsid w:val="002305AD"/>
    <w:rsid w:val="00230F56"/>
    <w:rsid w:val="00254376"/>
    <w:rsid w:val="00254F33"/>
    <w:rsid w:val="00261AF0"/>
    <w:rsid w:val="00261C9D"/>
    <w:rsid w:val="00275943"/>
    <w:rsid w:val="0028079B"/>
    <w:rsid w:val="00296255"/>
    <w:rsid w:val="002A6F75"/>
    <w:rsid w:val="002B0F81"/>
    <w:rsid w:val="002C6026"/>
    <w:rsid w:val="002C6B34"/>
    <w:rsid w:val="002E0D1A"/>
    <w:rsid w:val="002F067F"/>
    <w:rsid w:val="002F1EA6"/>
    <w:rsid w:val="0032183A"/>
    <w:rsid w:val="003257A5"/>
    <w:rsid w:val="00335FC4"/>
    <w:rsid w:val="00341B54"/>
    <w:rsid w:val="00371343"/>
    <w:rsid w:val="0038437D"/>
    <w:rsid w:val="00384B2D"/>
    <w:rsid w:val="00392193"/>
    <w:rsid w:val="003A6F92"/>
    <w:rsid w:val="003A7D6E"/>
    <w:rsid w:val="003C0014"/>
    <w:rsid w:val="003E46DA"/>
    <w:rsid w:val="003F69E5"/>
    <w:rsid w:val="00400964"/>
    <w:rsid w:val="00404A18"/>
    <w:rsid w:val="004074DF"/>
    <w:rsid w:val="00407BBC"/>
    <w:rsid w:val="00417884"/>
    <w:rsid w:val="0049379D"/>
    <w:rsid w:val="00495CCE"/>
    <w:rsid w:val="004C7B5B"/>
    <w:rsid w:val="004E0E4A"/>
    <w:rsid w:val="004E103B"/>
    <w:rsid w:val="0050323A"/>
    <w:rsid w:val="00555592"/>
    <w:rsid w:val="005809C4"/>
    <w:rsid w:val="00580C6B"/>
    <w:rsid w:val="00587AEE"/>
    <w:rsid w:val="00596629"/>
    <w:rsid w:val="005B636A"/>
    <w:rsid w:val="005B721B"/>
    <w:rsid w:val="005F3B8E"/>
    <w:rsid w:val="005F79AD"/>
    <w:rsid w:val="00610F87"/>
    <w:rsid w:val="00627E22"/>
    <w:rsid w:val="006477FA"/>
    <w:rsid w:val="006478E0"/>
    <w:rsid w:val="00687D19"/>
    <w:rsid w:val="006B252D"/>
    <w:rsid w:val="00702E87"/>
    <w:rsid w:val="007168DF"/>
    <w:rsid w:val="00726BE9"/>
    <w:rsid w:val="0073394B"/>
    <w:rsid w:val="007754DF"/>
    <w:rsid w:val="007A736A"/>
    <w:rsid w:val="007B5471"/>
    <w:rsid w:val="007C5107"/>
    <w:rsid w:val="007D6824"/>
    <w:rsid w:val="007E0B0F"/>
    <w:rsid w:val="007F5EDF"/>
    <w:rsid w:val="007F60EF"/>
    <w:rsid w:val="00820DFF"/>
    <w:rsid w:val="008265DC"/>
    <w:rsid w:val="00837CF5"/>
    <w:rsid w:val="0086030B"/>
    <w:rsid w:val="008724C1"/>
    <w:rsid w:val="008A7E16"/>
    <w:rsid w:val="008B7A5D"/>
    <w:rsid w:val="008E7F66"/>
    <w:rsid w:val="009147FB"/>
    <w:rsid w:val="00921169"/>
    <w:rsid w:val="0094160C"/>
    <w:rsid w:val="009443CE"/>
    <w:rsid w:val="00953564"/>
    <w:rsid w:val="00954A8D"/>
    <w:rsid w:val="009820AC"/>
    <w:rsid w:val="009927A5"/>
    <w:rsid w:val="009C4357"/>
    <w:rsid w:val="00A132CA"/>
    <w:rsid w:val="00A16626"/>
    <w:rsid w:val="00A23C7B"/>
    <w:rsid w:val="00A24DDB"/>
    <w:rsid w:val="00A31133"/>
    <w:rsid w:val="00A32751"/>
    <w:rsid w:val="00A36BC3"/>
    <w:rsid w:val="00A42261"/>
    <w:rsid w:val="00A572C2"/>
    <w:rsid w:val="00A61817"/>
    <w:rsid w:val="00A9304D"/>
    <w:rsid w:val="00A95668"/>
    <w:rsid w:val="00AA2F33"/>
    <w:rsid w:val="00AB0548"/>
    <w:rsid w:val="00B01CFF"/>
    <w:rsid w:val="00B0460A"/>
    <w:rsid w:val="00B252D3"/>
    <w:rsid w:val="00B327EE"/>
    <w:rsid w:val="00B5246C"/>
    <w:rsid w:val="00B64BD6"/>
    <w:rsid w:val="00B71254"/>
    <w:rsid w:val="00BB45D4"/>
    <w:rsid w:val="00BB74D8"/>
    <w:rsid w:val="00BC25C8"/>
    <w:rsid w:val="00BC2636"/>
    <w:rsid w:val="00BD3441"/>
    <w:rsid w:val="00BD5088"/>
    <w:rsid w:val="00BD52C1"/>
    <w:rsid w:val="00BE1E07"/>
    <w:rsid w:val="00BE4485"/>
    <w:rsid w:val="00BF57D9"/>
    <w:rsid w:val="00C034E0"/>
    <w:rsid w:val="00C060B8"/>
    <w:rsid w:val="00C07914"/>
    <w:rsid w:val="00C20FC9"/>
    <w:rsid w:val="00C3594C"/>
    <w:rsid w:val="00C36962"/>
    <w:rsid w:val="00C47236"/>
    <w:rsid w:val="00C51F99"/>
    <w:rsid w:val="00CA08F5"/>
    <w:rsid w:val="00CA502F"/>
    <w:rsid w:val="00CC634B"/>
    <w:rsid w:val="00CC693D"/>
    <w:rsid w:val="00CF018D"/>
    <w:rsid w:val="00CF6653"/>
    <w:rsid w:val="00D1043F"/>
    <w:rsid w:val="00D16709"/>
    <w:rsid w:val="00D27867"/>
    <w:rsid w:val="00D5048C"/>
    <w:rsid w:val="00D52A77"/>
    <w:rsid w:val="00D60EC9"/>
    <w:rsid w:val="00D70AAA"/>
    <w:rsid w:val="00D71446"/>
    <w:rsid w:val="00D739F6"/>
    <w:rsid w:val="00D833BF"/>
    <w:rsid w:val="00D85F72"/>
    <w:rsid w:val="00D95293"/>
    <w:rsid w:val="00E05F50"/>
    <w:rsid w:val="00E21A4C"/>
    <w:rsid w:val="00E26AA4"/>
    <w:rsid w:val="00E33D88"/>
    <w:rsid w:val="00E35460"/>
    <w:rsid w:val="00E35D0A"/>
    <w:rsid w:val="00E36222"/>
    <w:rsid w:val="00E4216D"/>
    <w:rsid w:val="00E450E8"/>
    <w:rsid w:val="00E545C5"/>
    <w:rsid w:val="00E7483E"/>
    <w:rsid w:val="00E926C6"/>
    <w:rsid w:val="00EC296F"/>
    <w:rsid w:val="00EE18A6"/>
    <w:rsid w:val="00EE2EDD"/>
    <w:rsid w:val="00F03F69"/>
    <w:rsid w:val="00F04CAE"/>
    <w:rsid w:val="00F16872"/>
    <w:rsid w:val="00F275CC"/>
    <w:rsid w:val="00F35301"/>
    <w:rsid w:val="00F44425"/>
    <w:rsid w:val="00F501C2"/>
    <w:rsid w:val="00F5100D"/>
    <w:rsid w:val="00F8506F"/>
    <w:rsid w:val="00F90C69"/>
    <w:rsid w:val="00FA00B5"/>
    <w:rsid w:val="00FA0FCD"/>
    <w:rsid w:val="00FE1760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FF488"/>
  <w15:docId w15:val="{E8B92AF0-3BA6-471E-A1A8-04341180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paragraph" w:customStyle="1" w:styleId="Default">
    <w:name w:val="Default"/>
    <w:rsid w:val="000B3898"/>
    <w:pPr>
      <w:autoSpaceDE w:val="0"/>
      <w:autoSpaceDN w:val="0"/>
      <w:adjustRightInd w:val="0"/>
      <w:spacing w:after="0" w:line="240" w:lineRule="auto"/>
    </w:pPr>
    <w:rPr>
      <w:rFonts w:ascii="ONEJB F+ Sabon" w:eastAsia="Times New Roman" w:hAnsi="ONEJB F+ Sabon" w:cs="ONEJB F+ Sabon"/>
      <w:color w:val="000000"/>
      <w:sz w:val="24"/>
      <w:szCs w:val="24"/>
      <w:lang w:val="en-GB" w:eastAsia="en-GB"/>
    </w:rPr>
  </w:style>
  <w:style w:type="paragraph" w:customStyle="1" w:styleId="header2">
    <w:name w:val="header 2"/>
    <w:basedOn w:val="Normal"/>
    <w:rsid w:val="000B3898"/>
    <w:rPr>
      <w:b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8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8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F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F7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7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8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8A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18A6"/>
    <w:pPr>
      <w:ind w:left="720"/>
      <w:contextualSpacing/>
    </w:pPr>
  </w:style>
  <w:style w:type="table" w:styleId="TableGrid">
    <w:name w:val="Table Grid"/>
    <w:basedOn w:val="TableNormal"/>
    <w:uiPriority w:val="59"/>
    <w:rsid w:val="00EC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4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4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0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8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7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said.gov/what-we-do/agriculture-and-food-security/food-assistance/guidance/food-peace-information-bulleti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12</Pages>
  <Words>1961</Words>
  <Characters>11181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6</cp:revision>
  <cp:lastPrinted>2016-06-05T14:21:00Z</cp:lastPrinted>
  <dcterms:created xsi:type="dcterms:W3CDTF">2018-02-09T22:22:00Z</dcterms:created>
  <dcterms:modified xsi:type="dcterms:W3CDTF">2018-02-23T11:59:00Z</dcterms:modified>
</cp:coreProperties>
</file>