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24" w:rsidRPr="001C7A37" w:rsidRDefault="007D6824" w:rsidP="006478E0">
      <w:pPr>
        <w:autoSpaceDE w:val="0"/>
        <w:autoSpaceDN w:val="0"/>
        <w:adjustRightInd w:val="0"/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  <w:r w:rsidRPr="001C7A37">
        <w:rPr>
          <w:rFonts w:asciiTheme="minorHAnsi" w:hAnsiTheme="minorHAnsi" w:cs="Arial"/>
          <w:sz w:val="22"/>
          <w:szCs w:val="22"/>
        </w:rPr>
        <w:t xml:space="preserve">Check for the latest USAID FFP </w:t>
      </w:r>
      <w:r w:rsidR="00BB45D4" w:rsidRPr="001C7A37">
        <w:rPr>
          <w:rFonts w:asciiTheme="minorHAnsi" w:hAnsiTheme="minorHAnsi" w:cs="Arial"/>
          <w:bCs/>
          <w:sz w:val="22"/>
          <w:szCs w:val="22"/>
        </w:rPr>
        <w:t>suggested</w:t>
      </w:r>
      <w:r w:rsidR="00BB45D4" w:rsidRPr="001C7A37">
        <w:rPr>
          <w:rFonts w:asciiTheme="minorHAnsi" w:hAnsiTheme="minorHAnsi" w:cs="Arial"/>
          <w:sz w:val="22"/>
          <w:szCs w:val="22"/>
        </w:rPr>
        <w:t xml:space="preserve"> b</w:t>
      </w:r>
      <w:r w:rsidRPr="001C7A37">
        <w:rPr>
          <w:rFonts w:asciiTheme="minorHAnsi" w:hAnsiTheme="minorHAnsi" w:cs="Arial"/>
          <w:sz w:val="22"/>
          <w:szCs w:val="22"/>
        </w:rPr>
        <w:t xml:space="preserve">udget </w:t>
      </w:r>
      <w:r w:rsidR="00BB45D4" w:rsidRPr="001C7A37">
        <w:rPr>
          <w:rFonts w:asciiTheme="minorHAnsi" w:hAnsiTheme="minorHAnsi" w:cs="Arial"/>
          <w:sz w:val="22"/>
          <w:szCs w:val="22"/>
        </w:rPr>
        <w:t>t</w:t>
      </w:r>
      <w:r w:rsidRPr="001C7A37">
        <w:rPr>
          <w:rFonts w:asciiTheme="minorHAnsi" w:hAnsiTheme="minorHAnsi" w:cs="Arial"/>
          <w:sz w:val="22"/>
          <w:szCs w:val="22"/>
        </w:rPr>
        <w:t>emplate</w:t>
      </w:r>
      <w:r w:rsidR="00BB45D4" w:rsidRPr="001C7A37">
        <w:rPr>
          <w:rFonts w:asciiTheme="minorHAnsi" w:hAnsiTheme="minorHAnsi" w:cs="Arial"/>
          <w:sz w:val="22"/>
          <w:szCs w:val="22"/>
        </w:rPr>
        <w:t xml:space="preserve">, </w:t>
      </w:r>
      <w:r w:rsidR="00BB45D4" w:rsidRPr="001C7A37">
        <w:rPr>
          <w:rFonts w:asciiTheme="minorHAnsi" w:hAnsiTheme="minorHAnsi" w:cs="Arial"/>
          <w:bCs/>
          <w:sz w:val="22"/>
          <w:szCs w:val="22"/>
        </w:rPr>
        <w:t xml:space="preserve">grouped by </w:t>
      </w:r>
      <w:r w:rsidR="004074DF" w:rsidRPr="001C7A37">
        <w:rPr>
          <w:rFonts w:asciiTheme="minorHAnsi" w:hAnsiTheme="minorHAnsi" w:cs="Arial"/>
          <w:bCs/>
          <w:sz w:val="22"/>
          <w:szCs w:val="22"/>
        </w:rPr>
        <w:t>program elements</w:t>
      </w:r>
      <w:r w:rsidR="00BB45D4" w:rsidRPr="001C7A37">
        <w:rPr>
          <w:rFonts w:asciiTheme="minorHAnsi" w:hAnsiTheme="minorHAnsi" w:cs="Arial"/>
          <w:bCs/>
          <w:sz w:val="22"/>
          <w:szCs w:val="22"/>
        </w:rPr>
        <w:t xml:space="preserve"> and itemized by suggested individual line items</w:t>
      </w:r>
      <w:r w:rsidR="00F90C69">
        <w:rPr>
          <w:rFonts w:asciiTheme="minorHAnsi" w:hAnsiTheme="minorHAnsi" w:cs="Arial"/>
          <w:sz w:val="22"/>
          <w:szCs w:val="22"/>
        </w:rPr>
        <w:t xml:space="preserve">. </w:t>
      </w:r>
      <w:r w:rsidRPr="001C7A37">
        <w:rPr>
          <w:rFonts w:asciiTheme="minorHAnsi" w:hAnsiTheme="minorHAnsi" w:cs="Arial"/>
          <w:sz w:val="22"/>
          <w:szCs w:val="22"/>
        </w:rPr>
        <w:t xml:space="preserve">For example, </w:t>
      </w:r>
      <w:r w:rsidR="00C3594C">
        <w:rPr>
          <w:rFonts w:asciiTheme="minorHAnsi" w:hAnsiTheme="minorHAnsi" w:cs="Arial"/>
          <w:sz w:val="22"/>
          <w:szCs w:val="22"/>
        </w:rPr>
        <w:t>look at a current</w:t>
      </w:r>
      <w:r w:rsidRPr="001C7A37">
        <w:rPr>
          <w:rFonts w:asciiTheme="minorHAnsi" w:hAnsiTheme="minorHAnsi" w:cs="Arial"/>
          <w:sz w:val="22"/>
          <w:szCs w:val="22"/>
        </w:rPr>
        <w:t xml:space="preserve"> </w:t>
      </w:r>
      <w:r w:rsidRPr="001C7A37">
        <w:rPr>
          <w:rFonts w:asciiTheme="minorHAnsi" w:hAnsiTheme="minorHAnsi" w:cs="Arial"/>
          <w:bCs/>
          <w:sz w:val="22"/>
          <w:szCs w:val="22"/>
        </w:rPr>
        <w:t xml:space="preserve">FY RFA </w:t>
      </w:r>
      <w:r w:rsidR="00C3594C">
        <w:rPr>
          <w:rFonts w:asciiTheme="minorHAnsi" w:hAnsiTheme="minorHAnsi" w:cs="Arial"/>
          <w:bCs/>
          <w:sz w:val="22"/>
          <w:szCs w:val="22"/>
        </w:rPr>
        <w:t>Budget Template (Excel format).</w:t>
      </w:r>
    </w:p>
    <w:p w:rsidR="00BB45D4" w:rsidRDefault="00BB45D4" w:rsidP="006478E0">
      <w:pPr>
        <w:autoSpaceDE w:val="0"/>
        <w:autoSpaceDN w:val="0"/>
        <w:adjustRightInd w:val="0"/>
        <w:spacing w:after="200" w:line="252" w:lineRule="auto"/>
        <w:rPr>
          <w:rStyle w:val="Hyperlink"/>
          <w:rFonts w:asciiTheme="minorHAnsi" w:hAnsiTheme="minorHAnsi" w:cs="Arial"/>
          <w:color w:val="237990"/>
          <w:sz w:val="22"/>
          <w:szCs w:val="22"/>
        </w:rPr>
      </w:pPr>
      <w:r w:rsidRPr="001C7A37">
        <w:rPr>
          <w:rFonts w:asciiTheme="minorHAnsi" w:eastAsiaTheme="minorHAnsi" w:hAnsiTheme="minorHAnsi" w:cstheme="minorBidi"/>
          <w:sz w:val="22"/>
          <w:szCs w:val="22"/>
        </w:rPr>
        <w:t>In detailed budgets, all costs must be associated with</w:t>
      </w:r>
      <w:r w:rsidR="00F90C69">
        <w:rPr>
          <w:rFonts w:asciiTheme="minorHAnsi" w:eastAsiaTheme="minorHAnsi" w:hAnsiTheme="minorHAnsi" w:cstheme="minorBidi"/>
          <w:sz w:val="22"/>
          <w:szCs w:val="22"/>
        </w:rPr>
        <w:t xml:space="preserve"> an applicable funding source. </w:t>
      </w:r>
      <w:r w:rsidRPr="001C7A37">
        <w:rPr>
          <w:rFonts w:asciiTheme="minorHAnsi" w:eastAsiaTheme="minorHAnsi" w:hAnsiTheme="minorHAnsi" w:cstheme="minorBidi"/>
          <w:sz w:val="22"/>
          <w:szCs w:val="22"/>
        </w:rPr>
        <w:t>Review and follow the most recent version of the FFP Information Bulletin on eligible uses of Section 202(e) and ITSH located on the FFP website</w:t>
      </w:r>
      <w:r w:rsidR="00953564">
        <w:rPr>
          <w:rFonts w:asciiTheme="minorHAnsi" w:eastAsiaTheme="minorHAnsi" w:hAnsiTheme="minorHAnsi" w:cstheme="minorBidi"/>
          <w:sz w:val="22"/>
          <w:szCs w:val="22"/>
        </w:rPr>
        <w:t>:</w:t>
      </w:r>
      <w:r w:rsidRPr="001C7A37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Pr="00C3594C">
          <w:rPr>
            <w:rStyle w:val="Hyperlink"/>
            <w:rFonts w:asciiTheme="minorHAnsi" w:hAnsiTheme="minorHAnsi" w:cs="Arial"/>
            <w:color w:val="237990"/>
            <w:sz w:val="22"/>
            <w:szCs w:val="22"/>
          </w:rPr>
          <w:t>https://www.usaid.gov/what-we-do/agriculture-and-food-security/food-assistance/guidance/food-peace-information-bulletins</w:t>
        </w:r>
      </w:hyperlink>
    </w:p>
    <w:p w:rsidR="00C3594C" w:rsidRPr="00C3594C" w:rsidRDefault="00C3594C" w:rsidP="006478E0">
      <w:pPr>
        <w:spacing w:after="200" w:line="252" w:lineRule="auto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 w:rsidRPr="00C3594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To facilitate USAID approval,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include equipment valued at greater than US</w:t>
      </w:r>
      <w:bookmarkStart w:id="0" w:name="_GoBack"/>
      <w:bookmarkEnd w:id="0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$1,000 (with a useful life of greater than </w:t>
      </w:r>
      <w:r w:rsidR="00F90C69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one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year) in one procurement plan.</w:t>
      </w:r>
    </w:p>
    <w:p w:rsidR="00013F72" w:rsidRDefault="00013F72" w:rsidP="006478E0">
      <w:pPr>
        <w:autoSpaceDE w:val="0"/>
        <w:autoSpaceDN w:val="0"/>
        <w:adjustRightInd w:val="0"/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  <w:r w:rsidRPr="001C7A37">
        <w:rPr>
          <w:rFonts w:asciiTheme="minorHAnsi" w:hAnsiTheme="minorHAnsi" w:cs="Arial"/>
          <w:b/>
          <w:bCs/>
          <w:sz w:val="22"/>
          <w:szCs w:val="22"/>
        </w:rPr>
        <w:t>Narrative</w:t>
      </w:r>
      <w:r w:rsidR="00BB45D4" w:rsidRPr="001C7A37">
        <w:rPr>
          <w:rFonts w:asciiTheme="minorHAnsi" w:hAnsiTheme="minorHAnsi" w:cs="Arial"/>
          <w:b/>
          <w:bCs/>
          <w:sz w:val="22"/>
          <w:szCs w:val="22"/>
        </w:rPr>
        <w:t xml:space="preserve"> Notes</w:t>
      </w:r>
      <w:r w:rsidR="00F90C69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1B14ED">
        <w:rPr>
          <w:rFonts w:asciiTheme="minorHAnsi" w:hAnsiTheme="minorHAnsi" w:cs="Arial"/>
          <w:bCs/>
          <w:sz w:val="22"/>
          <w:szCs w:val="22"/>
        </w:rPr>
        <w:t>Provide total units needed, j</w:t>
      </w:r>
      <w:r w:rsidRPr="001C7A37">
        <w:rPr>
          <w:rFonts w:asciiTheme="minorHAnsi" w:hAnsiTheme="minorHAnsi" w:cs="Arial"/>
          <w:bCs/>
          <w:sz w:val="22"/>
          <w:szCs w:val="22"/>
        </w:rPr>
        <w:t>ustif</w:t>
      </w:r>
      <w:r w:rsidR="00E35460">
        <w:rPr>
          <w:rFonts w:asciiTheme="minorHAnsi" w:hAnsiTheme="minorHAnsi" w:cs="Arial"/>
          <w:bCs/>
          <w:sz w:val="22"/>
          <w:szCs w:val="22"/>
        </w:rPr>
        <w:t>y</w:t>
      </w:r>
      <w:r w:rsidRPr="001C7A3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35460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1C7A37">
        <w:rPr>
          <w:rFonts w:asciiTheme="minorHAnsi" w:hAnsiTheme="minorHAnsi" w:cs="Arial"/>
          <w:bCs/>
          <w:sz w:val="22"/>
          <w:szCs w:val="22"/>
        </w:rPr>
        <w:t xml:space="preserve">proposed </w:t>
      </w:r>
      <w:r w:rsidR="00BB45D4" w:rsidRPr="001C7A37">
        <w:rPr>
          <w:rFonts w:asciiTheme="minorHAnsi" w:hAnsiTheme="minorHAnsi" w:cs="Arial"/>
          <w:bCs/>
          <w:sz w:val="22"/>
          <w:szCs w:val="22"/>
        </w:rPr>
        <w:t>cost</w:t>
      </w:r>
      <w:r w:rsidRPr="001C7A37">
        <w:rPr>
          <w:rFonts w:asciiTheme="minorHAnsi" w:hAnsiTheme="minorHAnsi" w:cs="Arial"/>
          <w:bCs/>
          <w:sz w:val="22"/>
          <w:szCs w:val="22"/>
        </w:rPr>
        <w:t>s</w:t>
      </w:r>
      <w:r w:rsidR="001B14ED">
        <w:rPr>
          <w:rFonts w:asciiTheme="minorHAnsi" w:hAnsiTheme="minorHAnsi" w:cs="Arial"/>
          <w:bCs/>
          <w:sz w:val="22"/>
          <w:szCs w:val="22"/>
        </w:rPr>
        <w:t>,</w:t>
      </w:r>
      <w:r w:rsidRPr="001C7A37">
        <w:rPr>
          <w:rFonts w:asciiTheme="minorHAnsi" w:hAnsiTheme="minorHAnsi" w:cs="Arial"/>
          <w:bCs/>
          <w:sz w:val="22"/>
          <w:szCs w:val="22"/>
        </w:rPr>
        <w:t xml:space="preserve"> and explain how costs were estimated</w:t>
      </w:r>
      <w:r w:rsidR="001B14ED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1F5882" w:rsidRPr="001C7A37">
        <w:rPr>
          <w:rFonts w:asciiTheme="minorHAnsi" w:hAnsiTheme="minorHAnsi" w:cs="Arial"/>
          <w:bCs/>
          <w:sz w:val="22"/>
          <w:szCs w:val="22"/>
        </w:rPr>
        <w:t>e</w:t>
      </w:r>
      <w:r w:rsidR="00F90C69">
        <w:rPr>
          <w:rFonts w:asciiTheme="minorHAnsi" w:hAnsiTheme="minorHAnsi" w:cs="Arial"/>
          <w:bCs/>
          <w:sz w:val="22"/>
          <w:szCs w:val="22"/>
        </w:rPr>
        <w:t>.g.</w:t>
      </w:r>
      <w:r w:rsidR="001F5882" w:rsidRPr="001C7A37">
        <w:rPr>
          <w:rFonts w:asciiTheme="minorHAnsi" w:hAnsiTheme="minorHAnsi" w:cs="Arial"/>
          <w:bCs/>
          <w:sz w:val="22"/>
          <w:szCs w:val="22"/>
        </w:rPr>
        <w:t>,</w:t>
      </w:r>
      <w:r w:rsidR="00BB45D4" w:rsidRPr="001C7A3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C7A37">
        <w:rPr>
          <w:rFonts w:asciiTheme="minorHAnsi" w:hAnsiTheme="minorHAnsi" w:cs="Arial"/>
          <w:bCs/>
          <w:sz w:val="22"/>
          <w:szCs w:val="22"/>
        </w:rPr>
        <w:t xml:space="preserve">the methodology and assumptions used to determine </w:t>
      </w:r>
      <w:r w:rsidR="001B14ED">
        <w:rPr>
          <w:rFonts w:asciiTheme="minorHAnsi" w:hAnsiTheme="minorHAnsi" w:cs="Arial"/>
          <w:bCs/>
          <w:sz w:val="22"/>
          <w:szCs w:val="22"/>
        </w:rPr>
        <w:t>cost per unit)</w:t>
      </w:r>
      <w:r w:rsidRPr="001C7A37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6478E0" w:rsidRPr="001C7A37" w:rsidRDefault="006478E0" w:rsidP="006478E0">
      <w:pPr>
        <w:autoSpaceDE w:val="0"/>
        <w:autoSpaceDN w:val="0"/>
        <w:adjustRightInd w:val="0"/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378"/>
        <w:gridCol w:w="7075"/>
        <w:gridCol w:w="1440"/>
        <w:gridCol w:w="1440"/>
        <w:gridCol w:w="3707"/>
      </w:tblGrid>
      <w:tr w:rsidR="00BB45D4" w:rsidRPr="00E545C5" w:rsidTr="00E35460">
        <w:trPr>
          <w:tblHeader/>
        </w:trPr>
        <w:tc>
          <w:tcPr>
            <w:tcW w:w="378" w:type="dxa"/>
          </w:tcPr>
          <w:p w:rsidR="00BB45D4" w:rsidRPr="00EC296F" w:rsidRDefault="00BB45D4" w:rsidP="007E0B0F">
            <w:pPr>
              <w:spacing w:after="6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</w:tcPr>
          <w:p w:rsidR="00BB45D4" w:rsidRPr="000060B4" w:rsidRDefault="00BB45D4" w:rsidP="007E0B0F">
            <w:pPr>
              <w:pStyle w:val="Default"/>
              <w:spacing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7C8029"/>
            <w:vAlign w:val="center"/>
          </w:tcPr>
          <w:p w:rsidR="00BB45D4" w:rsidRPr="001C7A37" w:rsidRDefault="00BB45D4" w:rsidP="001C7A3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C7A3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Type of Unit</w:t>
            </w:r>
          </w:p>
        </w:tc>
        <w:tc>
          <w:tcPr>
            <w:tcW w:w="1440" w:type="dxa"/>
            <w:shd w:val="clear" w:color="auto" w:fill="7C8029"/>
            <w:vAlign w:val="center"/>
          </w:tcPr>
          <w:p w:rsidR="00BB45D4" w:rsidRPr="001C7A37" w:rsidRDefault="00BB45D4" w:rsidP="001C7A3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C7A3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Cost per Unit</w:t>
            </w:r>
          </w:p>
        </w:tc>
        <w:tc>
          <w:tcPr>
            <w:tcW w:w="3707" w:type="dxa"/>
            <w:shd w:val="clear" w:color="auto" w:fill="7C8029"/>
            <w:vAlign w:val="center"/>
          </w:tcPr>
          <w:p w:rsidR="00BB45D4" w:rsidRPr="001C7A37" w:rsidRDefault="00BB45D4" w:rsidP="001C7A3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1C7A37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Narrative Notes</w:t>
            </w:r>
          </w:p>
        </w:tc>
      </w:tr>
      <w:tr w:rsidR="00D52A77" w:rsidRPr="00E545C5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FE1760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760">
              <w:rPr>
                <w:rFonts w:asciiTheme="minorHAnsi" w:hAnsiTheme="minorHAnsi" w:cs="Arial"/>
                <w:b/>
                <w:sz w:val="22"/>
                <w:szCs w:val="22"/>
              </w:rPr>
              <w:t>SALARIES and BENEFITS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95C9F" w:rsidRPr="00E545C5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095C9F" w:rsidRPr="00E35460" w:rsidRDefault="00095C9F" w:rsidP="00F5100D">
            <w:pPr>
              <w:rPr>
                <w:rFonts w:asciiTheme="minorHAnsi" w:hAnsiTheme="minorHAnsi"/>
              </w:rPr>
            </w:pPr>
            <w:r w:rsidRPr="00E354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Transport and Warehouse Staff</w:t>
            </w:r>
          </w:p>
        </w:tc>
        <w:tc>
          <w:tcPr>
            <w:tcW w:w="1440" w:type="dxa"/>
            <w:tcBorders>
              <w:bottom w:val="single" w:sz="8" w:space="0" w:color="7C8029"/>
            </w:tcBorders>
            <w:vAlign w:val="center"/>
          </w:tcPr>
          <w:p w:rsidR="00095C9F" w:rsidRPr="000060B4" w:rsidRDefault="00095C9F" w:rsidP="00F5100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8" w:space="0" w:color="7C8029"/>
            </w:tcBorders>
            <w:vAlign w:val="center"/>
          </w:tcPr>
          <w:p w:rsidR="00095C9F" w:rsidRPr="000060B4" w:rsidRDefault="00095C9F" w:rsidP="00F5100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tcBorders>
              <w:bottom w:val="single" w:sz="8" w:space="0" w:color="7C8029"/>
            </w:tcBorders>
            <w:vAlign w:val="center"/>
          </w:tcPr>
          <w:p w:rsidR="00095C9F" w:rsidRPr="000060B4" w:rsidRDefault="00095C9F" w:rsidP="00F5100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B45D4" w:rsidRPr="00E545C5" w:rsidTr="00E35460">
        <w:trPr>
          <w:trHeight w:val="1152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90C69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Individuals specifically related to transport 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warehouse activities, irrespective of the projected quantity of commodities (port officer, commodity manager</w:t>
            </w:r>
            <w:r w:rsidR="00BB74D8" w:rsidRPr="001C7A3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warehouse manager</w:t>
            </w:r>
            <w:r w:rsidR="00BB74D8" w:rsidRPr="001C7A37">
              <w:rPr>
                <w:rFonts w:asciiTheme="minorHAnsi" w:hAnsiTheme="minorHAnsi" w:cs="Arial"/>
                <w:sz w:val="20"/>
                <w:szCs w:val="20"/>
              </w:rPr>
              <w:t>, individuals specifically related to reporting</w:t>
            </w:r>
            <w:r w:rsidR="003F69E5" w:rsidRPr="001C7A37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3F69E5" w:rsidRPr="001C7A37">
              <w:rPr>
                <w:rFonts w:asciiTheme="minorHAnsi" w:hAnsiTheme="minorHAnsi" w:cs="Arial"/>
                <w:sz w:val="20"/>
                <w:szCs w:val="20"/>
              </w:rPr>
              <w:t>commodity accounting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864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Individuals involved in direct transport, storage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and handling of commodities, but whose numbers are </w:t>
            </w:r>
            <w:r w:rsidRPr="001F5882">
              <w:rPr>
                <w:rFonts w:asciiTheme="minorHAnsi" w:hAnsiTheme="minorHAnsi" w:cs="Arial"/>
                <w:b/>
                <w:sz w:val="20"/>
                <w:szCs w:val="20"/>
              </w:rPr>
              <w:t>directly related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to the quantity of commodities (warehouse assistants and tally clerks)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Individuals involved in cleaning storage facilities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Individuals involved in guarding storage facilities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5C9F" w:rsidRPr="00E545C5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095C9F" w:rsidRPr="00E35460" w:rsidRDefault="00095C9F" w:rsidP="00F90C69">
            <w:pPr>
              <w:rPr>
                <w:rFonts w:asciiTheme="minorHAnsi" w:hAnsiTheme="minorHAnsi"/>
              </w:rPr>
            </w:pPr>
            <w:r w:rsidRPr="00E354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Distribution </w:t>
            </w:r>
            <w:r w:rsidR="00F90C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and</w:t>
            </w:r>
            <w:r w:rsidRPr="00E354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Monitoring Staff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0060B4" w:rsidRDefault="00095C9F" w:rsidP="00F5100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0060B4" w:rsidRDefault="00095C9F" w:rsidP="00F5100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0060B4" w:rsidRDefault="00095C9F" w:rsidP="00F5100D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B45D4" w:rsidRPr="00E545C5" w:rsidTr="00E35460">
        <w:trPr>
          <w:trHeight w:val="576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Individuals specifically related to distribution activities, irrespective of the projected quantity of commodities distributed (distribution supervisor)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864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Individuals specifically related to distribution activities, but whose numbers are </w:t>
            </w:r>
            <w:r w:rsidRPr="001F5882">
              <w:rPr>
                <w:rFonts w:asciiTheme="minorHAnsi" w:hAnsiTheme="minorHAnsi" w:cs="Arial"/>
                <w:b/>
                <w:sz w:val="20"/>
                <w:szCs w:val="20"/>
              </w:rPr>
              <w:t>directly related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to the quantity of commodities distributed (distribution assistants and drivers)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576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Individuals specifically related to monitoring activities, irrespective of the projected quantity of commodities distributed (monitoring supervisor)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576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Individuals specifically related to monitoring activities, but whose numbers are </w:t>
            </w:r>
            <w:r w:rsidRPr="001F5882">
              <w:rPr>
                <w:rFonts w:asciiTheme="minorHAnsi" w:hAnsiTheme="minorHAnsi" w:cs="Arial"/>
                <w:b/>
                <w:sz w:val="20"/>
                <w:szCs w:val="20"/>
              </w:rPr>
              <w:t>directly related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to the quantity of commodities distributed (distribution monitors)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A77" w:rsidRPr="00E545C5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</w:rPr>
            </w:pPr>
            <w:r w:rsidRPr="00FE1760">
              <w:rPr>
                <w:rFonts w:asciiTheme="minorHAnsi" w:hAnsiTheme="minorHAnsi" w:cs="Arial"/>
                <w:b/>
                <w:sz w:val="22"/>
                <w:szCs w:val="22"/>
              </w:rPr>
              <w:t>NON-EMPLOYEE LABOR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Warehouse security (if contracted)</w:t>
            </w: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90C69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Fees for temporary or casual laborers hired to load/off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load and stack commodities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576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90C69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Fees for temporary or casual laborers hired to fill, stitch and stack </w:t>
            </w:r>
            <w:r w:rsidR="007C5107" w:rsidRPr="001C7A37">
              <w:rPr>
                <w:rFonts w:asciiTheme="minorHAnsi" w:hAnsiTheme="minorHAnsi" w:cs="Arial"/>
                <w:sz w:val="20"/>
                <w:szCs w:val="20"/>
              </w:rPr>
              <w:t>reconstituted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bags</w:t>
            </w:r>
            <w:r w:rsidR="007C5107" w:rsidRPr="001C7A3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C5107" w:rsidRPr="001C7A37">
              <w:rPr>
                <w:rFonts w:asciiTheme="minorHAnsi" w:hAnsiTheme="minorHAnsi" w:cs="Arial"/>
                <w:sz w:val="20"/>
                <w:szCs w:val="20"/>
              </w:rPr>
              <w:t>tins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C5107" w:rsidRPr="001C7A37">
              <w:rPr>
                <w:rFonts w:asciiTheme="minorHAnsi" w:hAnsiTheme="minorHAnsi" w:cs="Arial"/>
                <w:sz w:val="20"/>
                <w:szCs w:val="20"/>
              </w:rPr>
              <w:t xml:space="preserve"> or 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cartons</w:t>
            </w:r>
            <w:r w:rsidR="00E35460">
              <w:rPr>
                <w:rFonts w:asciiTheme="minorHAnsi" w:hAnsiTheme="minorHAnsi" w:cs="Arial"/>
                <w:sz w:val="20"/>
                <w:szCs w:val="20"/>
              </w:rPr>
              <w:t xml:space="preserve"> for </w:t>
            </w:r>
            <w:r w:rsidR="00E35460" w:rsidRPr="00FA00B5">
              <w:rPr>
                <w:rFonts w:asciiTheme="minorHAnsi" w:hAnsiTheme="minorHAnsi" w:cs="Arial"/>
                <w:b/>
                <w:sz w:val="20"/>
                <w:szCs w:val="20"/>
              </w:rPr>
              <w:t>pre-packaged distributions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ay pay per unit or per day)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864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90C69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Fees for temporary or casual laborers hired to fill, stitch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and stack </w:t>
            </w:r>
            <w:r w:rsidR="007C5107" w:rsidRPr="001C7A37">
              <w:rPr>
                <w:rFonts w:asciiTheme="minorHAnsi" w:hAnsiTheme="minorHAnsi" w:cs="Arial"/>
                <w:sz w:val="20"/>
                <w:szCs w:val="20"/>
              </w:rPr>
              <w:t>reconstituted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bags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cartons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or containers due to damage, leakage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or in otherwise poor or unfit condition (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ay pay per unit or per day.)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E545C5" w:rsidTr="00E35460">
        <w:trPr>
          <w:trHeight w:val="576"/>
        </w:trPr>
        <w:tc>
          <w:tcPr>
            <w:tcW w:w="378" w:type="dxa"/>
            <w:vAlign w:val="center"/>
          </w:tcPr>
          <w:p w:rsidR="00FA00B5" w:rsidRPr="00EC296F" w:rsidRDefault="00FA00B5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FA00B5" w:rsidRPr="001C7A37" w:rsidRDefault="00FA00B5" w:rsidP="00F90C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Fees for temporary or casual laborers hired to clean distribution sites or load/off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load commodities, e.g.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ally 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lerks and 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orters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A00B5" w:rsidRPr="001A1B4D" w:rsidRDefault="00FA00B5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A00B5" w:rsidRPr="001A1B4D" w:rsidRDefault="00FA00B5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FA00B5" w:rsidRPr="001A1B4D" w:rsidRDefault="00FA00B5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576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FA00B5" w:rsidP="00F510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Fees for consultant knowledgeable in fumigation technology to write Fumigation Management Plan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1A1B4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5460" w:rsidRPr="00F501C2" w:rsidTr="00E35460">
        <w:trPr>
          <w:trHeight w:val="432"/>
        </w:trPr>
        <w:tc>
          <w:tcPr>
            <w:tcW w:w="14040" w:type="dxa"/>
            <w:gridSpan w:val="5"/>
            <w:shd w:val="clear" w:color="auto" w:fill="BCC589"/>
            <w:vAlign w:val="center"/>
          </w:tcPr>
          <w:p w:rsidR="00E35460" w:rsidRPr="00FE1760" w:rsidRDefault="00E35460" w:rsidP="0039219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  <w:r w:rsidRPr="00FE1760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 xml:space="preserve">Travel </w:t>
            </w:r>
            <w:r w:rsidRPr="00E35460">
              <w:rPr>
                <w:rFonts w:asciiTheme="minorHAnsi" w:hAnsiTheme="minorHAnsi" w:cs="Arial"/>
                <w:bCs/>
                <w:caps/>
                <w:sz w:val="20"/>
                <w:szCs w:val="20"/>
              </w:rPr>
              <w:t>(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E35460">
              <w:rPr>
                <w:rFonts w:asciiTheme="minorHAnsi" w:hAnsiTheme="minorHAnsi" w:cs="Arial"/>
                <w:sz w:val="20"/>
                <w:szCs w:val="20"/>
              </w:rPr>
              <w:t>ccommodation and per diem for in-country, program</w:t>
            </w:r>
            <w:r w:rsidR="00F90C69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E35460">
              <w:rPr>
                <w:rFonts w:asciiTheme="minorHAnsi" w:hAnsiTheme="minorHAnsi" w:cs="Arial"/>
                <w:sz w:val="20"/>
                <w:szCs w:val="20"/>
              </w:rPr>
              <w:t>related travel</w:t>
            </w:r>
            <w:r w:rsidR="0039219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E35460">
              <w:rPr>
                <w:rFonts w:asciiTheme="minorHAnsi" w:hAnsiTheme="minorHAnsi" w:cs="Arial"/>
                <w:sz w:val="20"/>
                <w:szCs w:val="20"/>
              </w:rPr>
              <w:t xml:space="preserve"> broken down by the categories of staff listed above)</w:t>
            </w: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78E0" w:rsidRPr="009C4357" w:rsidTr="00E35460">
        <w:trPr>
          <w:trHeight w:val="403"/>
        </w:trPr>
        <w:tc>
          <w:tcPr>
            <w:tcW w:w="378" w:type="dxa"/>
            <w:vAlign w:val="center"/>
          </w:tcPr>
          <w:p w:rsidR="006478E0" w:rsidRPr="00EC296F" w:rsidRDefault="006478E0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6478E0" w:rsidRPr="001C7A37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6478E0" w:rsidRPr="009C4357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6478E0" w:rsidRPr="009C4357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6478E0" w:rsidRPr="009C4357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9C4357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9C4357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A77" w:rsidRPr="009C4357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FE1760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lastRenderedPageBreak/>
              <w:t>Transport of commodities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501C2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501C2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501C2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</w:tr>
      <w:tr w:rsidR="00095C9F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095C9F" w:rsidRPr="00E35460" w:rsidRDefault="00095C9F" w:rsidP="00335F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354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From points of ori</w:t>
            </w:r>
            <w:r w:rsidR="0039219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gin to primary storage facility</w:t>
            </w:r>
            <w:r w:rsidR="00335F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335FC4" w:rsidRPr="00335FC4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392193" w:rsidRPr="00392193">
              <w:rPr>
                <w:rFonts w:asciiTheme="minorHAnsi" w:hAnsiTheme="minorHAnsi" w:cs="Arial"/>
                <w:bCs/>
                <w:sz w:val="22"/>
                <w:szCs w:val="22"/>
              </w:rPr>
              <w:t>f</w:t>
            </w:r>
            <w:r w:rsidRPr="00E35460">
              <w:rPr>
                <w:rFonts w:asciiTheme="minorHAnsi" w:hAnsiTheme="minorHAnsi" w:cs="Arial"/>
                <w:sz w:val="22"/>
                <w:szCs w:val="22"/>
              </w:rPr>
              <w:t xml:space="preserve">or </w:t>
            </w:r>
            <w:r w:rsidRPr="001F5882">
              <w:rPr>
                <w:rFonts w:asciiTheme="minorHAnsi" w:hAnsiTheme="minorHAnsi" w:cs="Arial"/>
                <w:b/>
                <w:sz w:val="22"/>
                <w:szCs w:val="22"/>
              </w:rPr>
              <w:t xml:space="preserve">each </w:t>
            </w:r>
            <w:r w:rsidRPr="00E35460">
              <w:rPr>
                <w:rFonts w:asciiTheme="minorHAnsi" w:hAnsiTheme="minorHAnsi" w:cs="Arial"/>
                <w:sz w:val="22"/>
                <w:szCs w:val="22"/>
              </w:rPr>
              <w:t>route</w:t>
            </w:r>
            <w:r w:rsidR="00335FC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E354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tcBorders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335F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Truck/rail wagon/barge hire charges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Convoy and escort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5C9F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095C9F" w:rsidRPr="00E35460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E354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Bet</w:t>
            </w:r>
            <w:r w:rsidR="00335F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ween storage facility locations</w:t>
            </w:r>
            <w:r w:rsidRPr="00E354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335FC4" w:rsidRPr="00335FC4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335FC4" w:rsidRPr="00392193">
              <w:rPr>
                <w:rFonts w:asciiTheme="minorHAnsi" w:hAnsiTheme="minorHAnsi" w:cs="Arial"/>
                <w:bCs/>
                <w:sz w:val="22"/>
                <w:szCs w:val="22"/>
              </w:rPr>
              <w:t>f</w:t>
            </w:r>
            <w:r w:rsidR="00335FC4" w:rsidRPr="00E35460">
              <w:rPr>
                <w:rFonts w:asciiTheme="minorHAnsi" w:hAnsiTheme="minorHAnsi" w:cs="Arial"/>
                <w:sz w:val="22"/>
                <w:szCs w:val="22"/>
              </w:rPr>
              <w:t xml:space="preserve">or </w:t>
            </w:r>
            <w:r w:rsidR="00335FC4" w:rsidRPr="001F5882">
              <w:rPr>
                <w:rFonts w:asciiTheme="minorHAnsi" w:hAnsiTheme="minorHAnsi" w:cs="Arial"/>
                <w:b/>
                <w:sz w:val="22"/>
                <w:szCs w:val="22"/>
              </w:rPr>
              <w:t xml:space="preserve">each </w:t>
            </w:r>
            <w:r w:rsidR="00335FC4" w:rsidRPr="00E35460">
              <w:rPr>
                <w:rFonts w:asciiTheme="minorHAnsi" w:hAnsiTheme="minorHAnsi" w:cs="Arial"/>
                <w:sz w:val="22"/>
                <w:szCs w:val="22"/>
              </w:rPr>
              <w:t>route</w:t>
            </w:r>
            <w:r w:rsidR="00335FC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335FC4" w:rsidRPr="00E354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Truck hire charges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Convoy and escort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5C9F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095C9F" w:rsidRPr="00E35460" w:rsidRDefault="00095C9F" w:rsidP="00335F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</w:rPr>
            </w:pPr>
            <w:r w:rsidRPr="00E35460">
              <w:rPr>
                <w:rFonts w:asciiTheme="minorHAnsi" w:hAnsiTheme="minorHAnsi" w:cs="Arial"/>
                <w:b/>
                <w:sz w:val="22"/>
                <w:szCs w:val="22"/>
              </w:rPr>
              <w:t>From storage fa</w:t>
            </w:r>
            <w:r w:rsidR="00335FC4">
              <w:rPr>
                <w:rFonts w:asciiTheme="minorHAnsi" w:hAnsiTheme="minorHAnsi" w:cs="Arial"/>
                <w:b/>
                <w:sz w:val="22"/>
                <w:szCs w:val="22"/>
              </w:rPr>
              <w:t xml:space="preserve">cility to distribution site(s) </w:t>
            </w:r>
            <w:r w:rsidR="00335FC4" w:rsidRPr="00335FC4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335FC4" w:rsidRPr="00392193">
              <w:rPr>
                <w:rFonts w:asciiTheme="minorHAnsi" w:hAnsiTheme="minorHAnsi" w:cs="Arial"/>
                <w:bCs/>
                <w:sz w:val="22"/>
                <w:szCs w:val="22"/>
              </w:rPr>
              <w:t>f</w:t>
            </w:r>
            <w:r w:rsidR="00335FC4" w:rsidRPr="00E35460">
              <w:rPr>
                <w:rFonts w:asciiTheme="minorHAnsi" w:hAnsiTheme="minorHAnsi" w:cs="Arial"/>
                <w:sz w:val="22"/>
                <w:szCs w:val="22"/>
              </w:rPr>
              <w:t xml:space="preserve">or </w:t>
            </w:r>
            <w:r w:rsidR="00335FC4" w:rsidRPr="001F5882">
              <w:rPr>
                <w:rFonts w:asciiTheme="minorHAnsi" w:hAnsiTheme="minorHAnsi" w:cs="Arial"/>
                <w:b/>
                <w:sz w:val="22"/>
                <w:szCs w:val="22"/>
              </w:rPr>
              <w:t xml:space="preserve">each </w:t>
            </w:r>
            <w:r w:rsidR="00335FC4" w:rsidRPr="00E35460">
              <w:rPr>
                <w:rFonts w:asciiTheme="minorHAnsi" w:hAnsiTheme="minorHAnsi" w:cs="Arial"/>
                <w:sz w:val="22"/>
                <w:szCs w:val="22"/>
              </w:rPr>
              <w:t>distribution site</w:t>
            </w:r>
            <w:r w:rsidR="00335FC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335FC4" w:rsidRPr="00E3546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F501C2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9C4357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335F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Truck hire charges OR 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uel, maintenance, 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repairs for </w:t>
            </w:r>
            <w:r w:rsidR="0086030B" w:rsidRPr="001C7A37">
              <w:rPr>
                <w:rFonts w:asciiTheme="minorHAnsi" w:hAnsiTheme="minorHAnsi" w:cs="Arial"/>
                <w:sz w:val="20"/>
                <w:szCs w:val="20"/>
              </w:rPr>
              <w:t>Awardee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owned trucks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9C4357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Convoy and escort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F501C2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A77" w:rsidRPr="00E545C5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</w:rPr>
            </w:pPr>
            <w:r w:rsidRPr="00FE17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Warehouse </w:t>
            </w:r>
            <w:r w:rsidR="00D95293" w:rsidRPr="001C7A37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training</w:t>
            </w: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Distribution </w:t>
            </w:r>
            <w:r w:rsidR="00D95293" w:rsidRPr="001C7A37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 training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5293" w:rsidRPr="00E545C5" w:rsidTr="00E35460">
        <w:trPr>
          <w:trHeight w:val="403"/>
        </w:trPr>
        <w:tc>
          <w:tcPr>
            <w:tcW w:w="378" w:type="dxa"/>
            <w:vAlign w:val="center"/>
          </w:tcPr>
          <w:p w:rsidR="00D95293" w:rsidRPr="00EC296F" w:rsidRDefault="00D95293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1C7A37" w:rsidRDefault="00D95293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Casual labor training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C4357" w:rsidRDefault="00D95293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C4357" w:rsidRDefault="00D95293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D95293" w:rsidRPr="009C4357" w:rsidRDefault="00D95293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Monitoring </w:t>
            </w:r>
            <w:r w:rsidR="00D95293" w:rsidRPr="001C7A37">
              <w:rPr>
                <w:rFonts w:asciiTheme="minorHAnsi" w:hAnsiTheme="minorHAnsi" w:cs="Arial"/>
                <w:sz w:val="20"/>
                <w:szCs w:val="20"/>
              </w:rPr>
              <w:t xml:space="preserve">staff 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training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D95293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Distribution</w:t>
            </w:r>
            <w:r w:rsidR="00BB45D4" w:rsidRPr="001C7A37">
              <w:rPr>
                <w:rFonts w:asciiTheme="minorHAnsi" w:hAnsiTheme="minorHAnsi"/>
                <w:sz w:val="20"/>
                <w:szCs w:val="20"/>
              </w:rPr>
              <w:t xml:space="preserve"> agency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staff</w:t>
            </w:r>
            <w:r w:rsidR="00BB45D4" w:rsidRPr="001C7A37">
              <w:rPr>
                <w:rFonts w:asciiTheme="minorHAnsi" w:hAnsiTheme="minorHAnsi"/>
                <w:sz w:val="20"/>
                <w:szCs w:val="20"/>
              </w:rPr>
              <w:t xml:space="preserve"> training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D95293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Other project staff training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95293" w:rsidRPr="00E545C5" w:rsidTr="00E35460">
        <w:trPr>
          <w:trHeight w:val="403"/>
        </w:trPr>
        <w:tc>
          <w:tcPr>
            <w:tcW w:w="378" w:type="dxa"/>
            <w:vAlign w:val="center"/>
          </w:tcPr>
          <w:p w:rsidR="00D95293" w:rsidRPr="00EC296F" w:rsidRDefault="00D95293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D95293" w:rsidRPr="001C7A37" w:rsidRDefault="00D95293" w:rsidP="00335FC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Training materials </w:t>
            </w:r>
            <w:r w:rsidR="00335FC4">
              <w:rPr>
                <w:rFonts w:asciiTheme="minorHAnsi" w:hAnsiTheme="minorHAnsi" w:cs="Arial"/>
                <w:color w:val="000000"/>
                <w:sz w:val="20"/>
                <w:szCs w:val="20"/>
              </w:rPr>
              <w:t>and</w:t>
            </w:r>
            <w:r w:rsidRPr="001C7A3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supplies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D95293" w:rsidRPr="009C4357" w:rsidRDefault="00D95293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D95293" w:rsidRPr="009C4357" w:rsidRDefault="00D95293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D95293" w:rsidRPr="009C4357" w:rsidRDefault="00D95293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52A77" w:rsidRPr="00E545C5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/>
              </w:rPr>
            </w:pPr>
            <w:r w:rsidRPr="00FE17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BRANDING and MARKING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right w:val="single" w:sz="8" w:space="0" w:color="7C8029"/>
            </w:tcBorders>
            <w:vAlign w:val="center"/>
          </w:tcPr>
          <w:p w:rsidR="00BB45D4" w:rsidRPr="001C7A37" w:rsidRDefault="006477FA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Banners and visibility materials</w:t>
            </w:r>
          </w:p>
        </w:tc>
        <w:tc>
          <w:tcPr>
            <w:tcW w:w="1440" w:type="dxa"/>
            <w:tcBorders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</w:tcBorders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2A77" w:rsidRPr="00E545C5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335FC4">
            <w:pPr>
              <w:rPr>
                <w:rFonts w:asciiTheme="minorHAnsi" w:hAnsiTheme="minorHAnsi" w:cs="Arial"/>
              </w:rPr>
            </w:pPr>
            <w:r w:rsidRPr="00FE1760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lastRenderedPageBreak/>
              <w:t>Light Vehicles</w:t>
            </w:r>
            <w:r w:rsidRPr="00FE17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FE1760" w:rsidRPr="00FE1760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335FC4">
              <w:rPr>
                <w:rFonts w:asciiTheme="minorHAnsi" w:hAnsiTheme="minorHAnsi" w:cs="Arial"/>
                <w:bCs/>
                <w:sz w:val="20"/>
                <w:szCs w:val="20"/>
              </w:rPr>
              <w:t>f</w:t>
            </w:r>
            <w:r w:rsidRPr="00FE1760">
              <w:rPr>
                <w:rFonts w:asciiTheme="minorHAnsi" w:hAnsiTheme="minorHAnsi" w:cs="Arial"/>
                <w:sz w:val="20"/>
                <w:szCs w:val="20"/>
              </w:rPr>
              <w:t>or distribution teams, monitors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FE1760">
              <w:rPr>
                <w:rFonts w:asciiTheme="minorHAnsi" w:hAnsiTheme="minorHAnsi" w:cs="Arial"/>
                <w:sz w:val="20"/>
                <w:szCs w:val="20"/>
              </w:rPr>
              <w:t xml:space="preserve"> and management</w:t>
            </w:r>
            <w:r w:rsidR="00FE1760" w:rsidRPr="00FE176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rPr>
                <w:rFonts w:asciiTheme="minorHAnsi" w:hAnsiTheme="minorHAnsi" w:cs="Arial"/>
                <w:b/>
                <w:bCs/>
                <w:caps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Light vehicle rental charge or procurement price (if allowed)</w:t>
            </w: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927A5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927A5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927A5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F510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Motorbikes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927A5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927A5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927A5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Vehicle 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86030B" w:rsidRPr="001C7A37">
              <w:rPr>
                <w:rFonts w:asciiTheme="minorHAnsi" w:hAnsiTheme="minorHAnsi" w:cs="Arial"/>
                <w:sz w:val="20"/>
                <w:szCs w:val="20"/>
              </w:rPr>
              <w:t xml:space="preserve"> motorbike 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fuel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Vehicle 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86030B" w:rsidRPr="001C7A37">
              <w:rPr>
                <w:rFonts w:asciiTheme="minorHAnsi" w:hAnsiTheme="minorHAnsi" w:cs="Arial"/>
                <w:sz w:val="20"/>
                <w:szCs w:val="20"/>
              </w:rPr>
              <w:t xml:space="preserve"> motorbike 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maintenance and repairs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E545C5" w:rsidRDefault="00BB45D4" w:rsidP="00F510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Vehicle 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="0086030B" w:rsidRPr="001C7A37">
              <w:rPr>
                <w:rFonts w:asciiTheme="minorHAnsi" w:hAnsiTheme="minorHAnsi" w:cs="Arial"/>
                <w:sz w:val="20"/>
                <w:szCs w:val="20"/>
              </w:rPr>
              <w:t xml:space="preserve"> motorbike 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insurance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A77" w:rsidRPr="00E545C5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FE1760" w:rsidRDefault="00D52A77" w:rsidP="00335FC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E1760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 xml:space="preserve">port operation </w:t>
            </w:r>
            <w:r w:rsidR="00095C9F" w:rsidRPr="00095C9F">
              <w:rPr>
                <w:rFonts w:asciiTheme="minorHAnsi" w:hAnsiTheme="minorHAnsi" w:cs="Arial"/>
                <w:bCs/>
                <w:caps/>
                <w:sz w:val="20"/>
                <w:szCs w:val="20"/>
              </w:rPr>
              <w:t>(</w:t>
            </w:r>
            <w:r w:rsidR="00335FC4" w:rsidRPr="00335FC4">
              <w:rPr>
                <w:rFonts w:asciiTheme="minorHAnsi" w:hAnsiTheme="minorHAnsi" w:cs="Arial"/>
                <w:bCs/>
                <w:sz w:val="20"/>
                <w:szCs w:val="20"/>
              </w:rPr>
              <w:t>f</w:t>
            </w:r>
            <w:r w:rsidRPr="00095C9F">
              <w:rPr>
                <w:rFonts w:asciiTheme="minorHAnsi" w:hAnsiTheme="minorHAnsi" w:cs="Arial"/>
                <w:sz w:val="20"/>
                <w:szCs w:val="20"/>
              </w:rPr>
              <w:t xml:space="preserve">or </w:t>
            </w:r>
            <w:r w:rsidRPr="001F5882">
              <w:rPr>
                <w:rFonts w:asciiTheme="minorHAnsi" w:hAnsiTheme="minorHAnsi" w:cs="Arial"/>
                <w:b/>
                <w:sz w:val="20"/>
                <w:szCs w:val="20"/>
              </w:rPr>
              <w:t>each</w:t>
            </w:r>
            <w:r w:rsidRPr="00095C9F">
              <w:rPr>
                <w:rFonts w:asciiTheme="minorHAnsi" w:hAnsiTheme="minorHAnsi" w:cs="Arial"/>
                <w:sz w:val="20"/>
                <w:szCs w:val="20"/>
              </w:rPr>
              <w:t xml:space="preserve"> port or other point of origin</w:t>
            </w:r>
            <w:r w:rsidR="00095C9F" w:rsidRPr="00095C9F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E1760" w:rsidRDefault="00D52A77" w:rsidP="00FE1760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Freight forwarder</w:t>
            </w: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Overland transport to the border in landlocked countries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095C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color w:val="000000"/>
                <w:sz w:val="20"/>
                <w:szCs w:val="20"/>
              </w:rPr>
              <w:t>Port fees/taxes</w:t>
            </w:r>
            <w:r w:rsidR="00095C9F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Pr="00F5100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F5100D">
              <w:rPr>
                <w:rFonts w:asciiTheme="minorHAnsi" w:hAnsiTheme="minorHAnsi" w:cs="Arial"/>
                <w:sz w:val="20"/>
                <w:szCs w:val="20"/>
              </w:rPr>
              <w:t>landing charges/fees</w:t>
            </w:r>
            <w:r w:rsidR="00095C9F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F5100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F5100D">
              <w:rPr>
                <w:rFonts w:asciiTheme="minorHAnsi" w:hAnsiTheme="minorHAnsi" w:cs="Arial"/>
                <w:sz w:val="20"/>
                <w:szCs w:val="20"/>
              </w:rPr>
              <w:t>border/fees (if any)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Local clearing and forwarding agent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Customs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576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Survey charges for cargo inspection prior to discharge (to fix responsibility for any damages en route)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Demurrage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1152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For bulk grain:</w:t>
            </w:r>
          </w:p>
          <w:p w:rsidR="00BB45D4" w:rsidRPr="00F5100D" w:rsidRDefault="00BB45D4" w:rsidP="00F5100D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Bagging fees</w:t>
            </w:r>
          </w:p>
          <w:p w:rsidR="00BB45D4" w:rsidRPr="00F5100D" w:rsidRDefault="00BB45D4" w:rsidP="00F5100D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Bagging materials</w:t>
            </w:r>
          </w:p>
          <w:p w:rsidR="00BB45D4" w:rsidRPr="00F5100D" w:rsidRDefault="00BB45D4" w:rsidP="00335FC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Handling and tally at quayside (ex-quay or from end of bagging line at quay)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095C9F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For containers: local shunting</w:t>
            </w:r>
            <w:r w:rsidR="00095C9F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F5100D">
              <w:rPr>
                <w:rFonts w:asciiTheme="minorHAnsi" w:hAnsiTheme="minorHAnsi" w:cs="Arial"/>
                <w:sz w:val="20"/>
                <w:szCs w:val="20"/>
              </w:rPr>
              <w:t xml:space="preserve"> terminal handling charges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Stevedoring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Transport to port warehouse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Port storage 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335FC4" w:rsidP="00335F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Porter</w:t>
            </w:r>
            <w:r w:rsidR="00BB45D4" w:rsidRPr="00F5100D">
              <w:rPr>
                <w:rFonts w:asciiTheme="minorHAnsi" w:hAnsiTheme="minorHAnsi" w:cs="Arial"/>
                <w:sz w:val="20"/>
                <w:szCs w:val="20"/>
              </w:rPr>
              <w:t xml:space="preserve">/handling in and out </w:t>
            </w:r>
            <w:r w:rsidR="00095C9F">
              <w:rPr>
                <w:rFonts w:asciiTheme="minorHAnsi" w:hAnsiTheme="minorHAnsi" w:cs="Arial"/>
                <w:sz w:val="20"/>
                <w:szCs w:val="20"/>
              </w:rPr>
              <w:t>of</w:t>
            </w:r>
            <w:r w:rsidR="00BB45D4" w:rsidRPr="00F5100D">
              <w:rPr>
                <w:rFonts w:asciiTheme="minorHAnsi" w:hAnsiTheme="minorHAnsi" w:cs="Arial"/>
                <w:sz w:val="20"/>
                <w:szCs w:val="20"/>
              </w:rPr>
              <w:t xml:space="preserve"> stor</w:t>
            </w:r>
            <w:r w:rsidR="00095C9F">
              <w:rPr>
                <w:rFonts w:asciiTheme="minorHAnsi" w:hAnsiTheme="minorHAnsi" w:cs="Arial"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 xml:space="preserve">Fumigation/reconditioning in </w:t>
            </w:r>
            <w:r w:rsidR="00095C9F" w:rsidRPr="00F5100D">
              <w:rPr>
                <w:rFonts w:asciiTheme="minorHAnsi" w:hAnsiTheme="minorHAnsi" w:cs="Arial"/>
                <w:sz w:val="20"/>
                <w:szCs w:val="20"/>
              </w:rPr>
              <w:t>stor</w:t>
            </w:r>
            <w:r w:rsidR="00095C9F">
              <w:rPr>
                <w:rFonts w:asciiTheme="minorHAnsi" w:hAnsiTheme="minorHAnsi" w:cs="Arial"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Coastal shipping/rail/trucking contracts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Porter/handling fees from storage area and loading on forwarding transport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E545C5" w:rsidTr="00E35460">
        <w:trPr>
          <w:trHeight w:val="403"/>
        </w:trPr>
        <w:tc>
          <w:tcPr>
            <w:tcW w:w="378" w:type="dxa"/>
            <w:vAlign w:val="center"/>
          </w:tcPr>
          <w:p w:rsidR="00BB45D4" w:rsidRPr="00F5100D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/>
                <w:sz w:val="20"/>
                <w:szCs w:val="20"/>
              </w:rPr>
            </w:pPr>
            <w:r w:rsidRPr="00F5100D">
              <w:rPr>
                <w:rFonts w:asciiTheme="minorHAnsi" w:hAnsiTheme="minorHAnsi" w:cs="Arial"/>
                <w:sz w:val="20"/>
                <w:szCs w:val="20"/>
              </w:rPr>
              <w:t>Ex-tackle, ex-shed, and discharge surveys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F5100D" w:rsidRDefault="00BB45D4" w:rsidP="00F510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2A77" w:rsidRPr="00F501C2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D52A77" w:rsidRPr="001C7A37" w:rsidRDefault="00D52A77" w:rsidP="00335FC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E17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WAREHOUSING</w:t>
            </w:r>
            <w:r w:rsidRPr="001C7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FE1760" w:rsidRPr="00FE1760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335FC4">
              <w:rPr>
                <w:rFonts w:asciiTheme="minorHAnsi" w:hAnsiTheme="minorHAnsi" w:cs="Arial"/>
                <w:bCs/>
                <w:sz w:val="20"/>
                <w:szCs w:val="20"/>
              </w:rPr>
              <w:t>f</w:t>
            </w:r>
            <w:r w:rsidRPr="00FE1760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 </w:t>
            </w:r>
            <w:r w:rsidRPr="001F5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each</w:t>
            </w:r>
            <w:r w:rsidRPr="00FE176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storage facility</w:t>
            </w:r>
            <w:r w:rsidR="00FE1760" w:rsidRPr="00FE1760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501C2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D52A77" w:rsidRPr="00F501C2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D52A77" w:rsidRPr="00F501C2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</w:rPr>
            </w:pPr>
          </w:p>
        </w:tc>
      </w:tr>
      <w:tr w:rsidR="005F79AD" w:rsidRPr="00F501C2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5F79AD" w:rsidRPr="00095C9F" w:rsidRDefault="005F79AD" w:rsidP="00A132CA">
            <w:pPr>
              <w:rPr>
                <w:rFonts w:asciiTheme="minorHAnsi" w:eastAsiaTheme="minorHAnsi" w:hAnsiTheme="minorHAnsi" w:cstheme="minorBidi"/>
                <w:b/>
              </w:rPr>
            </w:pPr>
            <w:r w:rsidRPr="00095C9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Operational</w:t>
            </w:r>
          </w:p>
        </w:tc>
        <w:tc>
          <w:tcPr>
            <w:tcW w:w="1440" w:type="dxa"/>
            <w:tcBorders>
              <w:bottom w:val="single" w:sz="8" w:space="0" w:color="7C8029"/>
            </w:tcBorders>
            <w:vAlign w:val="center"/>
          </w:tcPr>
          <w:p w:rsidR="005F79AD" w:rsidRPr="00A132CA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7C8029"/>
            </w:tcBorders>
            <w:vAlign w:val="center"/>
          </w:tcPr>
          <w:p w:rsidR="005F79AD" w:rsidRPr="00A132CA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707" w:type="dxa"/>
            <w:tcBorders>
              <w:bottom w:val="single" w:sz="8" w:space="0" w:color="7C8029"/>
            </w:tcBorders>
            <w:vAlign w:val="center"/>
          </w:tcPr>
          <w:p w:rsidR="005F79AD" w:rsidRPr="00A132CA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bCs/>
                <w:sz w:val="20"/>
                <w:szCs w:val="20"/>
              </w:rPr>
              <w:t>Rent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Structural repairs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Cost of temporary facilities (if any)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bCs/>
                <w:sz w:val="20"/>
                <w:szCs w:val="20"/>
              </w:rPr>
              <w:t>Fumigation</w:t>
            </w:r>
            <w:r w:rsidR="0086030B" w:rsidRPr="00A132CA">
              <w:rPr>
                <w:rFonts w:asciiTheme="minorHAnsi" w:hAnsiTheme="minorHAnsi" w:cs="Arial"/>
                <w:bCs/>
                <w:sz w:val="20"/>
                <w:szCs w:val="20"/>
              </w:rPr>
              <w:t>, rodent</w:t>
            </w:r>
            <w:r w:rsidR="00C3594C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86030B" w:rsidRPr="00A132C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and pest control </w:t>
            </w:r>
            <w:r w:rsidR="007754DF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services </w:t>
            </w:r>
            <w:r w:rsidRPr="00A132CA">
              <w:rPr>
                <w:rFonts w:asciiTheme="minorHAnsi" w:hAnsiTheme="minorHAnsi" w:cs="Arial"/>
                <w:bCs/>
                <w:sz w:val="20"/>
                <w:szCs w:val="20"/>
              </w:rPr>
              <w:t>fees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576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Insurance, such as bonding of warehouses or employees, fire or theft insurance for commodity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8E7F66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Utility costs (telephone, water, electricity bills</w:t>
            </w:r>
            <w:r w:rsidR="008E7F66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132CA">
              <w:rPr>
                <w:rFonts w:asciiTheme="minorHAnsi" w:hAnsiTheme="minorHAnsi" w:cs="Arial"/>
                <w:sz w:val="20"/>
                <w:szCs w:val="20"/>
              </w:rPr>
              <w:t xml:space="preserve"> generator fuel)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F79AD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5F79AD" w:rsidRPr="00095C9F" w:rsidRDefault="005F79AD" w:rsidP="00335FC4">
            <w:pPr>
              <w:rPr>
                <w:rFonts w:asciiTheme="minorHAnsi" w:hAnsiTheme="minorHAnsi"/>
              </w:rPr>
            </w:pPr>
            <w:r w:rsidRPr="00095C9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General Equipment/Supplies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A132CA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A132CA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A132CA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E7483E" w:rsidP="008E7F6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Calibrated w</w:t>
            </w:r>
            <w:r w:rsidR="00BB45D4" w:rsidRPr="00A132CA">
              <w:rPr>
                <w:rFonts w:asciiTheme="minorHAnsi" w:hAnsiTheme="minorHAnsi"/>
                <w:sz w:val="20"/>
                <w:szCs w:val="20"/>
              </w:rPr>
              <w:t xml:space="preserve">eighing </w:t>
            </w:r>
            <w:r w:rsidR="00BB45D4" w:rsidRPr="00A132CA">
              <w:rPr>
                <w:rFonts w:asciiTheme="minorHAnsi" w:eastAsiaTheme="minorHAnsi" w:hAnsiTheme="minorHAnsi" w:cs="Arial"/>
                <w:sz w:val="20"/>
                <w:szCs w:val="20"/>
              </w:rPr>
              <w:t>scales, platform,</w:t>
            </w:r>
            <w:r w:rsidR="00BB45D4" w:rsidRPr="00A132CA">
              <w:rPr>
                <w:rFonts w:asciiTheme="minorHAnsi" w:hAnsiTheme="minorHAnsi"/>
                <w:sz w:val="20"/>
                <w:szCs w:val="20"/>
              </w:rPr>
              <w:t xml:space="preserve"> minimum 100</w:t>
            </w:r>
            <w:r w:rsidR="008E7F66">
              <w:rPr>
                <w:rFonts w:asciiTheme="minorHAnsi" w:hAnsiTheme="minorHAnsi"/>
                <w:sz w:val="20"/>
                <w:szCs w:val="20"/>
              </w:rPr>
              <w:t>-</w:t>
            </w:r>
            <w:r w:rsidR="00BB45D4" w:rsidRPr="00A132CA">
              <w:rPr>
                <w:rFonts w:asciiTheme="minorHAnsi" w:hAnsiTheme="minorHAnsi"/>
                <w:sz w:val="20"/>
                <w:szCs w:val="20"/>
              </w:rPr>
              <w:t>kg capacity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Weighing scale, hanging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Fan(s), heavy duty, pedestal</w:t>
            </w:r>
            <w:r w:rsidR="008A7E16">
              <w:rPr>
                <w:rFonts w:asciiTheme="minorHAnsi" w:hAnsiTheme="minorHAnsi"/>
                <w:sz w:val="20"/>
                <w:szCs w:val="20"/>
              </w:rPr>
              <w:t xml:space="preserve"> (to help control humidity)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A132CA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Ladder</w:t>
            </w:r>
            <w:r w:rsidR="00E7483E" w:rsidRPr="00A132CA">
              <w:rPr>
                <w:rFonts w:asciiTheme="minorHAnsi" w:hAnsiTheme="minorHAnsi"/>
                <w:sz w:val="20"/>
                <w:szCs w:val="20"/>
              </w:rPr>
              <w:t>(s)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 xml:space="preserve">, steel, </w:t>
            </w:r>
            <w:r w:rsidR="00335FC4">
              <w:rPr>
                <w:rFonts w:asciiTheme="minorHAnsi" w:hAnsiTheme="minorHAnsi"/>
                <w:sz w:val="20"/>
                <w:szCs w:val="20"/>
              </w:rPr>
              <w:t>four-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meter telescoping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A132CA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A132C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>Torches (flashlights) with batteries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B64BD6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A132C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Light bulbs (for replacement)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B64BD6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095C9F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Generator, sufficient to power the lighting and equipment 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B64BD6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B64BD6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B64BD6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B64BD6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Locks with keys, heavy duty</w:t>
            </w: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(for doors)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1440"/>
        </w:trPr>
        <w:tc>
          <w:tcPr>
            <w:tcW w:w="378" w:type="dxa"/>
          </w:tcPr>
          <w:p w:rsidR="00BB45D4" w:rsidRPr="00EC296F" w:rsidRDefault="00BB45D4" w:rsidP="00B64BD6">
            <w:pPr>
              <w:spacing w:before="120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Pre-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1C7A37">
              <w:rPr>
                <w:rFonts w:asciiTheme="minorHAnsi" w:hAnsiTheme="minorHAnsi" w:cs="Arial"/>
                <w:sz w:val="20"/>
                <w:szCs w:val="20"/>
              </w:rPr>
              <w:t>rinted Forms</w:t>
            </w:r>
          </w:p>
          <w:p w:rsidR="00BB45D4" w:rsidRPr="001C7A37" w:rsidRDefault="00BB45D4" w:rsidP="00A132CA">
            <w:pPr>
              <w:numPr>
                <w:ilvl w:val="0"/>
                <w:numId w:val="15"/>
              </w:numPr>
              <w:ind w:left="288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Pre-</w:t>
            </w:r>
            <w:r w:rsidR="00335FC4">
              <w:rPr>
                <w:rFonts w:asciiTheme="minorHAnsi" w:hAnsiTheme="minorHAnsi" w:cs="Arial"/>
                <w:sz w:val="20"/>
                <w:szCs w:val="20"/>
              </w:rPr>
              <w:t>numbered waybills</w:t>
            </w:r>
          </w:p>
          <w:p w:rsidR="00BB45D4" w:rsidRPr="001C7A37" w:rsidRDefault="00BB45D4" w:rsidP="00A132CA">
            <w:pPr>
              <w:numPr>
                <w:ilvl w:val="0"/>
                <w:numId w:val="15"/>
              </w:numPr>
              <w:ind w:left="288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 xml:space="preserve">Warehouse inventory ledgers </w:t>
            </w:r>
          </w:p>
          <w:p w:rsidR="00BB45D4" w:rsidRPr="001C7A37" w:rsidRDefault="00BB45D4" w:rsidP="00A132CA">
            <w:pPr>
              <w:numPr>
                <w:ilvl w:val="0"/>
                <w:numId w:val="15"/>
              </w:numPr>
              <w:ind w:left="288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Stack and fumigation cards</w:t>
            </w:r>
          </w:p>
          <w:p w:rsidR="00BB45D4" w:rsidRPr="001C7A37" w:rsidRDefault="00BB45D4" w:rsidP="00A132CA">
            <w:pPr>
              <w:numPr>
                <w:ilvl w:val="0"/>
                <w:numId w:val="15"/>
              </w:numPr>
              <w:ind w:left="288"/>
              <w:rPr>
                <w:rFonts w:asciiTheme="minorHAnsi" w:hAnsiTheme="minorHAnsi" w:cs="Arial"/>
                <w:sz w:val="20"/>
                <w:szCs w:val="20"/>
              </w:rPr>
            </w:pPr>
            <w:r w:rsidRPr="001C7A37">
              <w:rPr>
                <w:rFonts w:asciiTheme="minorHAnsi" w:hAnsiTheme="minorHAnsi" w:cs="Arial"/>
                <w:sz w:val="20"/>
                <w:szCs w:val="20"/>
              </w:rPr>
              <w:t>Chemical treatment ledgers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B45D4" w:rsidRPr="009C4357" w:rsidRDefault="00BB45D4" w:rsidP="00B64BD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B45D4" w:rsidRPr="009C4357" w:rsidRDefault="00BB45D4" w:rsidP="00B64BD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BB45D4" w:rsidRPr="009C4357" w:rsidRDefault="00BB45D4" w:rsidP="00B64BD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F79AD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5F79AD" w:rsidRPr="00095C9F" w:rsidRDefault="005F79AD" w:rsidP="00335FC4">
            <w:pPr>
              <w:rPr>
                <w:rFonts w:asciiTheme="minorHAnsi" w:eastAsiaTheme="minorHAnsi" w:hAnsiTheme="minorHAnsi" w:cstheme="minorBidi"/>
              </w:rPr>
            </w:pPr>
            <w:r w:rsidRPr="00095C9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Stack Construction </w:t>
            </w:r>
            <w:r w:rsidR="00335FC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</w:t>
            </w:r>
            <w:r w:rsidRPr="00095C9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C602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Inspection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B64BD6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B64BD6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B64BD6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9C4357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8E7F6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>Tarpaulins, lightweight, 1.5m x 2.5m (for of</w:t>
            </w:r>
            <w:r w:rsidR="008E7F66">
              <w:rPr>
                <w:rFonts w:asciiTheme="minorHAnsi" w:eastAsiaTheme="minorHAnsi" w:hAnsiTheme="minorHAnsi" w:cstheme="minorBidi"/>
                <w:sz w:val="20"/>
                <w:szCs w:val="20"/>
              </w:rPr>
              <w:t>f</w:t>
            </w:r>
            <w:r w:rsidR="00335FC4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>loading commodity)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9C4357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Tape </w:t>
            </w:r>
            <w:r w:rsidR="00095C9F">
              <w:rPr>
                <w:rFonts w:asciiTheme="minorHAnsi" w:eastAsiaTheme="minorHAnsi" w:hAnsiTheme="minorHAnsi" w:cstheme="minorBidi"/>
                <w:sz w:val="20"/>
                <w:szCs w:val="20"/>
              </w:rPr>
              <w:t>m</w:t>
            </w: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easures,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metal</w:t>
            </w:r>
            <w:r w:rsidR="00335FC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5m</w:t>
            </w:r>
            <w:r w:rsidR="00335FC4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 50m</w:t>
            </w:r>
            <w:r w:rsidR="00335F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F501C2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F501C2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F501C2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>Chalk or paint (to demarcate stack boundaries)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B64BD6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B64BD6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B64BD6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45D4" w:rsidRPr="009C4357" w:rsidTr="00E35460">
        <w:trPr>
          <w:trHeight w:val="403"/>
        </w:trPr>
        <w:tc>
          <w:tcPr>
            <w:tcW w:w="378" w:type="dxa"/>
            <w:vAlign w:val="center"/>
          </w:tcPr>
          <w:p w:rsidR="00BB45D4" w:rsidRPr="00EC296F" w:rsidRDefault="00BB45D4" w:rsidP="00A132C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1C7A37" w:rsidRDefault="00BB45D4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Wheel barrows or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hand trucks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C4357" w:rsidRDefault="00BB45D4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F501C2" w:rsidTr="00E35460">
        <w:trPr>
          <w:trHeight w:val="403"/>
        </w:trPr>
        <w:tc>
          <w:tcPr>
            <w:tcW w:w="378" w:type="dxa"/>
            <w:vAlign w:val="center"/>
          </w:tcPr>
          <w:p w:rsidR="00FA00B5" w:rsidRPr="00EC296F" w:rsidRDefault="00FA00B5" w:rsidP="00FA00B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1C7A37" w:rsidRDefault="00FA00B5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Wooden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</w:t>
            </w: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allets, 1.2m x 1.2m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(Note: </w:t>
            </w:r>
            <w:r w:rsidR="00335FC4">
              <w:rPr>
                <w:rFonts w:asciiTheme="minorHAnsi" w:hAnsiTheme="minorHAnsi"/>
                <w:sz w:val="20"/>
                <w:szCs w:val="20"/>
              </w:rPr>
              <w:t>s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tandard size = 1m x 1m)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F501C2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F501C2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F501C2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F501C2" w:rsidTr="00E35460">
        <w:trPr>
          <w:trHeight w:val="403"/>
        </w:trPr>
        <w:tc>
          <w:tcPr>
            <w:tcW w:w="378" w:type="dxa"/>
            <w:vAlign w:val="center"/>
          </w:tcPr>
          <w:p w:rsidR="00FA00B5" w:rsidRPr="00EC296F" w:rsidRDefault="00FA00B5" w:rsidP="00FA00B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1C7A37" w:rsidRDefault="00FA00B5" w:rsidP="00FA00B5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Tally sticks or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ag counters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F501C2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F501C2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F501C2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9C4357" w:rsidTr="00E35460">
        <w:trPr>
          <w:trHeight w:val="403"/>
        </w:trPr>
        <w:tc>
          <w:tcPr>
            <w:tcW w:w="378" w:type="dxa"/>
            <w:vAlign w:val="center"/>
          </w:tcPr>
          <w:p w:rsidR="00FA00B5" w:rsidRPr="00B64BD6" w:rsidRDefault="00FA00B5" w:rsidP="00FA00B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1C7A37" w:rsidRDefault="00FA00B5" w:rsidP="00FA00B5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T</w:t>
            </w:r>
            <w:r w:rsidR="00254F33">
              <w:rPr>
                <w:rFonts w:asciiTheme="minorHAnsi" w:hAnsiTheme="minorHAnsi"/>
                <w:sz w:val="20"/>
                <w:szCs w:val="20"/>
              </w:rPr>
              <w:t xml:space="preserve">emperature and relative humidity </w:t>
            </w:r>
            <w:r w:rsidR="00254F33" w:rsidRPr="001C7A37">
              <w:rPr>
                <w:rFonts w:asciiTheme="minorHAnsi" w:hAnsiTheme="minorHAnsi"/>
                <w:sz w:val="20"/>
                <w:szCs w:val="20"/>
              </w:rPr>
              <w:t>reading device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9C4357" w:rsidTr="00E35460">
        <w:trPr>
          <w:trHeight w:val="403"/>
        </w:trPr>
        <w:tc>
          <w:tcPr>
            <w:tcW w:w="378" w:type="dxa"/>
            <w:vAlign w:val="center"/>
          </w:tcPr>
          <w:p w:rsidR="00FA00B5" w:rsidRPr="00B64BD6" w:rsidRDefault="00FA00B5" w:rsidP="00FA00B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1C7A37" w:rsidRDefault="00254F33" w:rsidP="008E7F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15x loupe (for identifying insects)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FC4" w:rsidRPr="009C4357" w:rsidTr="00E35460">
        <w:trPr>
          <w:trHeight w:val="403"/>
        </w:trPr>
        <w:tc>
          <w:tcPr>
            <w:tcW w:w="378" w:type="dxa"/>
            <w:vAlign w:val="center"/>
          </w:tcPr>
          <w:p w:rsidR="00335FC4" w:rsidRPr="00B64BD6" w:rsidRDefault="00335FC4" w:rsidP="00FA00B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335FC4" w:rsidRDefault="00335FC4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Ultra violet flashlight (for locating rodent urine trails)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335FC4" w:rsidRPr="009C4357" w:rsidRDefault="00335FC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335FC4" w:rsidRPr="009C4357" w:rsidRDefault="00335FC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335FC4" w:rsidRPr="009C4357" w:rsidRDefault="00335FC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9C4357" w:rsidTr="00E35460">
        <w:trPr>
          <w:trHeight w:val="403"/>
        </w:trPr>
        <w:tc>
          <w:tcPr>
            <w:tcW w:w="378" w:type="dxa"/>
            <w:vAlign w:val="center"/>
          </w:tcPr>
          <w:p w:rsidR="00FA00B5" w:rsidRPr="00EC296F" w:rsidRDefault="00FA00B5" w:rsidP="00FA00B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1C7A37" w:rsidRDefault="00FA00B5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>Sampling spear (for inspecting suspected damaged commodities)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9C4357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FA00B5" w:rsidRPr="00095C9F" w:rsidRDefault="00FA00B5" w:rsidP="00FA00B5">
            <w:pPr>
              <w:rPr>
                <w:rFonts w:asciiTheme="minorHAnsi" w:hAnsiTheme="minorHAnsi"/>
              </w:rPr>
            </w:pPr>
            <w:r w:rsidRPr="00095C9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Safety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F501C2" w:rsidTr="00E35460">
        <w:trPr>
          <w:trHeight w:val="403"/>
        </w:trPr>
        <w:tc>
          <w:tcPr>
            <w:tcW w:w="378" w:type="dxa"/>
            <w:vAlign w:val="center"/>
          </w:tcPr>
          <w:p w:rsidR="00FA00B5" w:rsidRPr="00A132CA" w:rsidRDefault="00FA00B5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Drinking water supply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9C4357" w:rsidTr="00E35460">
        <w:trPr>
          <w:trHeight w:val="403"/>
        </w:trPr>
        <w:tc>
          <w:tcPr>
            <w:tcW w:w="378" w:type="dxa"/>
            <w:vAlign w:val="center"/>
          </w:tcPr>
          <w:p w:rsidR="00FA00B5" w:rsidRPr="00A132CA" w:rsidRDefault="00FA00B5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First</w:t>
            </w:r>
            <w:r w:rsidR="00335FC4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aid kit 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0B5" w:rsidRPr="00F501C2" w:rsidTr="00E35460">
        <w:trPr>
          <w:trHeight w:val="403"/>
        </w:trPr>
        <w:tc>
          <w:tcPr>
            <w:tcW w:w="378" w:type="dxa"/>
            <w:vAlign w:val="center"/>
          </w:tcPr>
          <w:p w:rsidR="00FA00B5" w:rsidRPr="00A132CA" w:rsidRDefault="00FA00B5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Safety posters </w:t>
            </w:r>
            <w:r w:rsidR="00335FC4">
              <w:rPr>
                <w:rFonts w:asciiTheme="minorHAnsi" w:eastAsiaTheme="minorHAnsi" w:hAnsiTheme="minorHAnsi" w:cstheme="minorBidi"/>
                <w:sz w:val="20"/>
                <w:szCs w:val="20"/>
              </w:rPr>
              <w:t>and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signs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A00B5" w:rsidRPr="00A132CA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254F33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Smoke detectors/</w:t>
            </w:r>
            <w:r w:rsidR="00335FC4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larm</w:t>
            </w:r>
            <w:r w:rsidR="00335FC4"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254F33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Fire extinguishers (</w:t>
            </w:r>
            <w:r w:rsidR="00335FC4"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eek advice from service providers)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254F33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Fire blanket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254F33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Shovels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254F33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Buckets filled with sand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335FC4">
        <w:trPr>
          <w:trHeight w:val="403"/>
        </w:trPr>
        <w:tc>
          <w:tcPr>
            <w:tcW w:w="7453" w:type="dxa"/>
            <w:gridSpan w:val="2"/>
            <w:tcBorders>
              <w:right w:val="single" w:sz="8" w:space="0" w:color="7C8029"/>
            </w:tcBorders>
            <w:vAlign w:val="center"/>
          </w:tcPr>
          <w:p w:rsidR="00254F33" w:rsidRPr="00254F33" w:rsidRDefault="00254F33" w:rsidP="00254F33">
            <w:pPr>
              <w:rPr>
                <w:rFonts w:asciiTheme="minorHAnsi" w:eastAsiaTheme="minorHAnsi" w:hAnsiTheme="minorHAnsi" w:cstheme="minorBidi"/>
                <w:b/>
              </w:rPr>
            </w:pPr>
            <w:r w:rsidRPr="00254F3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Personal Protective Equipment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254F33" w:rsidRDefault="00254F33" w:rsidP="00254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F33">
              <w:rPr>
                <w:rFonts w:asciiTheme="minorHAnsi" w:eastAsiaTheme="minorHAnsi" w:hAnsiTheme="minorHAnsi" w:cstheme="minorHAnsi"/>
                <w:sz w:val="20"/>
                <w:szCs w:val="20"/>
              </w:rPr>
              <w:t>Disposable nitrile gloves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254F33" w:rsidRDefault="00254F33" w:rsidP="00254F33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54F33">
              <w:rPr>
                <w:rFonts w:asciiTheme="minorHAnsi" w:eastAsiaTheme="minorHAnsi" w:hAnsiTheme="minorHAnsi" w:cstheme="minorHAnsi"/>
                <w:sz w:val="20"/>
                <w:szCs w:val="20"/>
              </w:rPr>
              <w:t>Long</w:t>
            </w:r>
            <w:r w:rsidR="00335FC4">
              <w:rPr>
                <w:rFonts w:asciiTheme="minorHAnsi" w:eastAsiaTheme="minorHAnsi" w:hAnsiTheme="minorHAnsi" w:cstheme="minorHAnsi"/>
                <w:sz w:val="20"/>
                <w:szCs w:val="20"/>
              </w:rPr>
              <w:t>, unlined,</w:t>
            </w:r>
            <w:r w:rsidRPr="00254F33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rubber gloves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254F33" w:rsidRDefault="00254F33" w:rsidP="00335FC4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54F33">
              <w:rPr>
                <w:rFonts w:asciiTheme="minorHAnsi" w:eastAsiaTheme="minorHAnsi" w:hAnsiTheme="minorHAnsi" w:cstheme="minorHAnsi"/>
                <w:sz w:val="20"/>
                <w:szCs w:val="20"/>
              </w:rPr>
              <w:t>Dust masks, dust coats/aprons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254F33" w:rsidRDefault="00254F33" w:rsidP="001D1913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54F33">
              <w:rPr>
                <w:rFonts w:asciiTheme="minorHAnsi" w:hAnsiTheme="minorHAnsi" w:cstheme="minorHAnsi"/>
                <w:sz w:val="20"/>
                <w:szCs w:val="20"/>
              </w:rPr>
              <w:t>Liquid-tight and long</w:t>
            </w:r>
            <w:r w:rsidR="001D191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54F33">
              <w:rPr>
                <w:rFonts w:asciiTheme="minorHAnsi" w:hAnsiTheme="minorHAnsi" w:cstheme="minorHAnsi"/>
                <w:sz w:val="20"/>
                <w:szCs w:val="20"/>
              </w:rPr>
              <w:t>sleeved protective coveralls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254F33" w:rsidRDefault="00254F33" w:rsidP="00335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F33">
              <w:rPr>
                <w:rFonts w:asciiTheme="minorHAnsi" w:eastAsiaTheme="minorHAnsi" w:hAnsiTheme="minorHAnsi" w:cstheme="minorHAnsi"/>
                <w:sz w:val="20"/>
                <w:szCs w:val="20"/>
              </w:rPr>
              <w:t>Hard hats/helmets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254F33" w:rsidRDefault="00254F33" w:rsidP="00254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4F33">
              <w:rPr>
                <w:rFonts w:asciiTheme="minorHAnsi" w:eastAsiaTheme="minorHAnsi" w:hAnsiTheme="minorHAnsi" w:cstheme="minorHAnsi"/>
                <w:sz w:val="20"/>
                <w:szCs w:val="20"/>
              </w:rPr>
              <w:t>Rubber boots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254F33" w:rsidRPr="00156591" w:rsidRDefault="00254F33" w:rsidP="00335FC4">
            <w:pPr>
              <w:rPr>
                <w:rFonts w:asciiTheme="minorHAnsi" w:eastAsiaTheme="minorHAnsi" w:hAnsiTheme="minorHAnsi" w:cstheme="minorBidi"/>
              </w:rPr>
            </w:pPr>
            <w:r w:rsidRPr="0015659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Cleaning </w:t>
            </w:r>
            <w:r w:rsidR="00335FC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</w:t>
            </w:r>
            <w:r w:rsidRPr="0015659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Maintenance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Slashers (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for cutting grass)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335FC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Rakes/hoes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Hard broom with handle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Soft brooms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Cobweb remover with wooden handle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Dust collectors/dusters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335FC4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 xml:space="preserve">Mops </w:t>
            </w:r>
            <w:r w:rsidR="00335FC4">
              <w:rPr>
                <w:rFonts w:asciiTheme="minorHAnsi" w:hAnsiTheme="minorHAnsi"/>
                <w:sz w:val="20"/>
                <w:szCs w:val="20"/>
              </w:rPr>
              <w:t>and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 xml:space="preserve"> buckets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Vacuum cleaner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(to clean under stacks)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1D191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 xml:space="preserve">Dust 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ins, 20</w:t>
            </w:r>
            <w:r w:rsidR="001D1913">
              <w:rPr>
                <w:rFonts w:asciiTheme="minorHAnsi" w:hAnsiTheme="minorHAnsi"/>
                <w:sz w:val="20"/>
                <w:szCs w:val="20"/>
              </w:rPr>
              <w:t>-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liter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Rat traps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/</w:t>
            </w:r>
            <w:r w:rsidR="001D1913">
              <w:rPr>
                <w:rFonts w:asciiTheme="minorHAnsi" w:eastAsiaTheme="minorHAnsi" w:hAnsiTheme="minorHAnsi" w:cstheme="minorBidi"/>
                <w:sz w:val="20"/>
                <w:szCs w:val="20"/>
              </w:rPr>
              <w:t>glue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576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Toolbox with tools for basic warehouse repairs and simple maintenance (crowbar, hacksaw, hammer, screwdrivers)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CA08F5">
        <w:trPr>
          <w:trHeight w:val="403"/>
        </w:trPr>
        <w:tc>
          <w:tcPr>
            <w:tcW w:w="7453" w:type="dxa"/>
            <w:gridSpan w:val="2"/>
            <w:tcBorders>
              <w:right w:val="single" w:sz="8" w:space="0" w:color="7C8029"/>
            </w:tcBorders>
            <w:vAlign w:val="center"/>
          </w:tcPr>
          <w:p w:rsidR="00254F33" w:rsidRPr="005F3B8E" w:rsidRDefault="00254F33" w:rsidP="00254F33">
            <w:pPr>
              <w:rPr>
                <w:rFonts w:asciiTheme="minorHAnsi" w:hAnsiTheme="minorHAnsi" w:cstheme="minorHAnsi"/>
              </w:rPr>
            </w:pPr>
            <w:r w:rsidRPr="005F3B8E">
              <w:rPr>
                <w:rFonts w:asciiTheme="minorHAnsi" w:hAnsiTheme="minorHAnsi" w:cstheme="minorHAnsi"/>
                <w:b/>
                <w:sz w:val="22"/>
                <w:szCs w:val="22"/>
              </w:rPr>
              <w:t>Fumigation</w:t>
            </w:r>
            <w:r w:rsidRPr="005F3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6026">
              <w:rPr>
                <w:rFonts w:asciiTheme="minorHAnsi" w:hAnsiTheme="minorHAnsi" w:cstheme="minorHAnsi"/>
                <w:sz w:val="20"/>
                <w:szCs w:val="20"/>
              </w:rPr>
              <w:t>(per project Fumigation Management Plan)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254F33" w:rsidP="00254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PVC</w:t>
            </w: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 xml:space="preserve"> fumigation sheets (</w:t>
            </w:r>
            <w:r w:rsidRPr="00F275CC">
              <w:rPr>
                <w:rFonts w:asciiTheme="minorHAnsi" w:eastAsiaTheme="minorHAnsi" w:hAnsiTheme="minorHAnsi" w:cstheme="minorHAnsi"/>
                <w:sz w:val="20"/>
                <w:szCs w:val="20"/>
              </w:rPr>
              <w:t>gas-</w:t>
            </w:r>
            <w:r w:rsidR="008E7F66">
              <w:rPr>
                <w:rFonts w:asciiTheme="minorHAnsi" w:eastAsiaTheme="minorHAnsi" w:hAnsiTheme="minorHAnsi" w:cstheme="minorHAnsi"/>
                <w:sz w:val="20"/>
                <w:szCs w:val="20"/>
              </w:rPr>
              <w:t>impervious tarpaulins), 8m x 12</w:t>
            </w:r>
            <w:r w:rsidRPr="00F275CC">
              <w:rPr>
                <w:rFonts w:asciiTheme="minorHAnsi" w:eastAsia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8E7F66" w:rsidP="008E7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Clips or d</w:t>
            </w:r>
            <w:r w:rsidR="00254F33">
              <w:rPr>
                <w:rFonts w:asciiTheme="minorHAnsi" w:hAnsiTheme="minorHAnsi" w:cstheme="minorHAnsi"/>
                <w:sz w:val="20"/>
                <w:szCs w:val="20"/>
              </w:rPr>
              <w:t>uct tape (to seal sheets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together</w:t>
            </w:r>
            <w:r w:rsidR="00254F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254F33" w:rsidP="00254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>Sand snakes (sufficient to place double row around all stacks)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254F33" w:rsidP="00254F3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>Cotton gloves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254F33" w:rsidP="008E7F6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Full-face gas</w:t>
            </w:r>
            <w:r w:rsidRPr="00F275C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canister</w:t>
            </w:r>
            <w:r w:rsidRPr="00F275C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respirators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254F33" w:rsidP="00254F33">
            <w:pPr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Replacement canisters designated for PH</w:t>
            </w:r>
            <w:r w:rsidR="008E7F66" w:rsidRPr="008E7F66">
              <w:rPr>
                <w:rFonts w:asciiTheme="minorHAnsi" w:hAnsiTheme="minorHAnsi" w:cstheme="minorHAnsi"/>
                <w:spacing w:val="-1"/>
                <w:sz w:val="20"/>
                <w:szCs w:val="20"/>
                <w:vertAlign w:val="subscript"/>
              </w:rPr>
              <w:t>3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(phosphine) 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275CC" w:rsidRDefault="00254F33" w:rsidP="008E7F66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275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Personal phosphine</w:t>
            </w: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gas</w:t>
            </w:r>
            <w:r w:rsidRPr="00F275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detection</w:t>
            </w:r>
            <w:r w:rsidR="008E7F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equipment</w:t>
            </w: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(electrochemical,</w:t>
            </w: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photo-ionization</w:t>
            </w:r>
            <w:r w:rsidR="008E7F6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,</w:t>
            </w:r>
            <w:r w:rsidRPr="00F275C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or</w:t>
            </w:r>
            <w:r w:rsidRPr="00F275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5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tube type)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5F3B8E" w:rsidRDefault="00254F33" w:rsidP="00254F33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Dry deactivation drum with vent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254F33" w:rsidRPr="00156591" w:rsidRDefault="00254F33" w:rsidP="00254F33">
            <w:pPr>
              <w:rPr>
                <w:rFonts w:asciiTheme="minorHAnsi" w:eastAsiaTheme="minorHAnsi" w:hAnsiTheme="minorHAnsi" w:cstheme="minorBidi"/>
              </w:rPr>
            </w:pPr>
            <w:r w:rsidRPr="0015659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Reconstitution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Empty bags, 25</w:t>
            </w:r>
            <w:r w:rsidR="001D191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kg capacity, with liners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Empty 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metal/plastic cans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, 20</w:t>
            </w:r>
            <w:r w:rsidR="001D191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liter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Bag stitching machine and accessories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Wooden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ieve, 1m x 0.5m (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for grain)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Wooden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s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ieve, 1m x 0.5m, 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finer mesh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>for milled products)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Large tarpaulins and/or plastic sheeting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8E7F6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Empty bags, 50</w:t>
            </w:r>
            <w:r w:rsidR="001D191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kg capacity, without liners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1D1913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Sewing thread/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twine/rope (for stitching)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Stitching needles, large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Knives for cutting bags (strong</w:t>
            </w:r>
            <w:r w:rsidR="001D1913"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locally made) 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132CA">
              <w:rPr>
                <w:rFonts w:asciiTheme="minorHAnsi" w:eastAsiaTheme="minorHAnsi" w:hAnsiTheme="minorHAnsi" w:cstheme="minorBidi"/>
                <w:sz w:val="20"/>
                <w:szCs w:val="20"/>
              </w:rPr>
              <w:t>Metal scoops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9C4357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Sealing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</w:t>
            </w: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ape, preferably with USAID </w:t>
            </w:r>
            <w:r w:rsidR="001D1913">
              <w:rPr>
                <w:rFonts w:asciiTheme="minorHAnsi" w:eastAsiaTheme="minorHAnsi" w:hAnsiTheme="minorHAnsi" w:cstheme="minorBidi"/>
                <w:sz w:val="20"/>
                <w:szCs w:val="20"/>
              </w:rPr>
              <w:t>l</w:t>
            </w:r>
            <w:r w:rsidRPr="001C7A37">
              <w:rPr>
                <w:rFonts w:asciiTheme="minorHAnsi" w:eastAsiaTheme="minorHAnsi" w:hAnsiTheme="minorHAnsi" w:cstheme="minorBidi"/>
                <w:sz w:val="20"/>
                <w:szCs w:val="20"/>
              </w:rPr>
              <w:t>ogo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254F33" w:rsidRPr="00156591" w:rsidRDefault="00254F33" w:rsidP="00254F33">
            <w:pPr>
              <w:rPr>
                <w:rFonts w:asciiTheme="minorHAnsi" w:hAnsiTheme="minorHAnsi"/>
              </w:rPr>
            </w:pPr>
            <w:r w:rsidRPr="00156591">
              <w:rPr>
                <w:rFonts w:asciiTheme="minorHAnsi" w:hAnsiTheme="minorHAnsi"/>
                <w:b/>
                <w:sz w:val="22"/>
                <w:szCs w:val="22"/>
              </w:rPr>
              <w:t>Office Equipment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B64BD6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1D1913" w:rsidP="00254F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Tables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B64BD6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Whiteboard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9C4357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Metal </w:t>
            </w:r>
            <w:r w:rsidR="001D1913">
              <w:rPr>
                <w:rFonts w:asciiTheme="minorHAnsi" w:hAnsiTheme="minorHAnsi"/>
                <w:sz w:val="20"/>
                <w:szCs w:val="20"/>
              </w:rPr>
              <w:t>f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iling cabinet, </w:t>
            </w:r>
            <w:r w:rsidR="001D1913">
              <w:rPr>
                <w:rFonts w:asciiTheme="minorHAnsi" w:hAnsiTheme="minorHAnsi"/>
                <w:sz w:val="20"/>
                <w:szCs w:val="20"/>
              </w:rPr>
              <w:t>four-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drawer with lock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Bookshelves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B64BD6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Wastebaskets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9C4357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Communication equipment (smartphones)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UPS (</w:t>
            </w:r>
            <w:r w:rsidR="001D1913">
              <w:rPr>
                <w:rFonts w:asciiTheme="minorHAnsi" w:hAnsiTheme="minorHAnsi"/>
                <w:sz w:val="20"/>
                <w:szCs w:val="20"/>
              </w:rPr>
              <w:t>1200W if the computer is a desk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top model)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B64BD6" w:rsidTr="00E35460">
        <w:trPr>
          <w:trHeight w:val="403"/>
        </w:trPr>
        <w:tc>
          <w:tcPr>
            <w:tcW w:w="378" w:type="dxa"/>
            <w:vAlign w:val="center"/>
          </w:tcPr>
          <w:p w:rsidR="00254F33" w:rsidRPr="00B64BD6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Computers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Software (commodity tracking)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1D1913" w:rsidP="001D1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Electronic t</w:t>
            </w:r>
            <w:r w:rsidR="00254F33" w:rsidRPr="001C7A37">
              <w:rPr>
                <w:rFonts w:asciiTheme="minorHAnsi" w:hAnsiTheme="minorHAnsi"/>
                <w:sz w:val="20"/>
                <w:szCs w:val="20"/>
              </w:rPr>
              <w:t>ablets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B64BD6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Printer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Photocopier/scanner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B64BD6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Surge protectors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B64BD6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ameras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7754DF">
        <w:trPr>
          <w:trHeight w:val="403"/>
        </w:trPr>
        <w:tc>
          <w:tcPr>
            <w:tcW w:w="7453" w:type="dxa"/>
            <w:gridSpan w:val="2"/>
            <w:vAlign w:val="center"/>
          </w:tcPr>
          <w:p w:rsidR="00254F33" w:rsidRPr="00156591" w:rsidRDefault="00254F33" w:rsidP="001D1913">
            <w:pPr>
              <w:rPr>
                <w:rFonts w:asciiTheme="minorHAnsi" w:hAnsiTheme="minorHAnsi"/>
              </w:rPr>
            </w:pPr>
            <w:r w:rsidRPr="00156591">
              <w:rPr>
                <w:rFonts w:asciiTheme="minorHAnsi" w:hAnsiTheme="minorHAnsi"/>
                <w:b/>
                <w:sz w:val="22"/>
                <w:szCs w:val="22"/>
              </w:rPr>
              <w:t xml:space="preserve">Office </w:t>
            </w:r>
            <w:r w:rsidR="001D191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156591">
              <w:rPr>
                <w:rFonts w:asciiTheme="minorHAnsi" w:hAnsiTheme="minorHAnsi"/>
                <w:b/>
                <w:sz w:val="22"/>
                <w:szCs w:val="22"/>
              </w:rPr>
              <w:t>upplies</w:t>
            </w: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9C4357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Calculators, 12</w:t>
            </w:r>
            <w:r w:rsidR="001D1913">
              <w:rPr>
                <w:rFonts w:asciiTheme="minorHAnsi" w:hAnsiTheme="minorHAnsi"/>
                <w:sz w:val="20"/>
                <w:szCs w:val="20"/>
              </w:rPr>
              <w:t>-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digit (one for each warehouse staff member)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B64BD6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Printer ink cartridges 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Arch lever or “box” files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B64BD6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Weights and </w:t>
            </w:r>
            <w:r w:rsidR="001D1913">
              <w:rPr>
                <w:rFonts w:asciiTheme="minorHAnsi" w:hAnsiTheme="minorHAnsi"/>
                <w:sz w:val="20"/>
                <w:szCs w:val="20"/>
              </w:rPr>
              <w:t>m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easures conversion tables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B64BD6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9C4357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Hardbound registers (for ledgers)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9C4357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Stationery (writing paper, printer paper, notebooks)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Pencils/ballpoint pens/markers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Ink pads and stamps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F501C2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Paper hole punch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F501C2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9C4357" w:rsidTr="00E35460">
        <w:trPr>
          <w:trHeight w:val="403"/>
        </w:trPr>
        <w:tc>
          <w:tcPr>
            <w:tcW w:w="378" w:type="dxa"/>
            <w:vAlign w:val="center"/>
          </w:tcPr>
          <w:p w:rsidR="00254F33" w:rsidRPr="00B64BD6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File folders and filing clips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254F33" w:rsidRPr="009C4357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ED2C5A" w:rsidTr="00FE1760">
        <w:trPr>
          <w:trHeight w:val="432"/>
        </w:trPr>
        <w:tc>
          <w:tcPr>
            <w:tcW w:w="7453" w:type="dxa"/>
            <w:gridSpan w:val="2"/>
            <w:shd w:val="clear" w:color="auto" w:fill="BCC589"/>
            <w:vAlign w:val="center"/>
          </w:tcPr>
          <w:p w:rsidR="00254F33" w:rsidRPr="00FE1760" w:rsidRDefault="001D1913" w:rsidP="001D191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>Distribution</w:t>
            </w:r>
          </w:p>
        </w:tc>
        <w:tc>
          <w:tcPr>
            <w:tcW w:w="1440" w:type="dxa"/>
            <w:shd w:val="clear" w:color="auto" w:fill="BCC589"/>
            <w:vAlign w:val="center"/>
          </w:tcPr>
          <w:p w:rsidR="00254F33" w:rsidRPr="00FE1760" w:rsidRDefault="00254F33" w:rsidP="00254F33">
            <w:pPr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1440" w:type="dxa"/>
            <w:shd w:val="clear" w:color="auto" w:fill="BCC589"/>
            <w:vAlign w:val="center"/>
          </w:tcPr>
          <w:p w:rsidR="00254F33" w:rsidRPr="00FE1760" w:rsidRDefault="00254F33" w:rsidP="00254F33">
            <w:pPr>
              <w:rPr>
                <w:rFonts w:asciiTheme="minorHAnsi" w:hAnsiTheme="minorHAnsi" w:cs="Arial"/>
                <w:b/>
                <w:bCs/>
                <w:caps/>
              </w:rPr>
            </w:pPr>
          </w:p>
        </w:tc>
        <w:tc>
          <w:tcPr>
            <w:tcW w:w="3707" w:type="dxa"/>
            <w:shd w:val="clear" w:color="auto" w:fill="BCC589"/>
            <w:vAlign w:val="center"/>
          </w:tcPr>
          <w:p w:rsidR="00254F33" w:rsidRPr="00FE1760" w:rsidRDefault="00254F33" w:rsidP="00254F33">
            <w:pPr>
              <w:rPr>
                <w:rFonts w:asciiTheme="minorHAnsi" w:hAnsiTheme="minorHAnsi" w:cs="Arial"/>
                <w:b/>
                <w:bCs/>
                <w:caps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1D1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Distribution site/center costs (if any)</w:t>
            </w: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Rent and maintenance of storage, if any, at distribution site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1D19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132CA">
              <w:rPr>
                <w:rFonts w:asciiTheme="minorHAnsi" w:hAnsiTheme="minorHAnsi" w:cs="Arial"/>
                <w:sz w:val="20"/>
                <w:szCs w:val="20"/>
              </w:rPr>
              <w:t>Radios/cell phones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1D191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Laptop computers/tablets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Software (database for recipient list)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587AEE" w:rsidP="00587A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Artl</w:t>
            </w:r>
            <w:r w:rsidR="00254F33" w:rsidRPr="00A132CA">
              <w:rPr>
                <w:rFonts w:asciiTheme="minorHAnsi" w:hAnsiTheme="minorHAnsi"/>
                <w:sz w:val="20"/>
                <w:szCs w:val="20"/>
              </w:rPr>
              <w:t>ine marker or chalk (for marking areas to set out commodity)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Tarpaulins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 xml:space="preserve">Rope (nylon </w:t>
            </w:r>
            <w:r w:rsidR="00587AEE">
              <w:rPr>
                <w:rFonts w:asciiTheme="minorHAnsi" w:hAnsiTheme="minorHAnsi"/>
                <w:sz w:val="20"/>
                <w:szCs w:val="20"/>
              </w:rPr>
              <w:t>and</w:t>
            </w:r>
            <w:r w:rsidRPr="00A132CA">
              <w:rPr>
                <w:rFonts w:asciiTheme="minorHAnsi" w:hAnsiTheme="minorHAnsi"/>
                <w:sz w:val="20"/>
                <w:szCs w:val="20"/>
              </w:rPr>
              <w:t xml:space="preserve">&amp; jute) to control queues 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Pegs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587AEE" w:rsidP="00587A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1-k</w:t>
            </w:r>
            <w:r w:rsidR="00254F33" w:rsidRPr="00A132CA">
              <w:rPr>
                <w:rFonts w:asciiTheme="minorHAnsi" w:hAnsiTheme="minorHAnsi"/>
                <w:sz w:val="20"/>
                <w:szCs w:val="20"/>
              </w:rPr>
              <w:t>g hammer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A132CA" w:rsidRDefault="00254F33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A132CA">
              <w:rPr>
                <w:rFonts w:asciiTheme="minorHAnsi" w:hAnsiTheme="minorHAnsi"/>
                <w:sz w:val="20"/>
                <w:szCs w:val="20"/>
              </w:rPr>
              <w:t>Cloth and poles (to establish breast feeding area)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A132CA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576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bCs/>
                <w:sz w:val="20"/>
                <w:szCs w:val="20"/>
              </w:rPr>
              <w:t xml:space="preserve">Signs to mark distribution point areas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(Entrance, Exit, Please Queue Here, Female Waiting &amp; Breast</w:t>
            </w:r>
            <w:r w:rsidR="00587AEE">
              <w:rPr>
                <w:rFonts w:asciiTheme="minorHAnsi" w:hAnsiTheme="minorHAnsi"/>
                <w:sz w:val="20"/>
                <w:szCs w:val="20"/>
              </w:rPr>
              <w:t>f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eeding Corner, Drinking Water, Toilet)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Ration </w:t>
            </w:r>
            <w:r w:rsidR="00587AEE">
              <w:rPr>
                <w:rFonts w:asciiTheme="minorHAnsi" w:hAnsiTheme="minorHAnsi"/>
                <w:sz w:val="20"/>
                <w:szCs w:val="20"/>
              </w:rPr>
              <w:t>b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oards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Donor and</w:t>
            </w:r>
            <w:r w:rsidR="00587AE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if applicable, partner banners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Suggestion </w:t>
            </w:r>
            <w:r w:rsidR="00587AEE">
              <w:rPr>
                <w:rFonts w:asciiTheme="minorHAnsi" w:hAnsiTheme="minorHAnsi"/>
                <w:sz w:val="20"/>
                <w:szCs w:val="20"/>
              </w:rPr>
              <w:t>b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ox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Megaphones/whistles (for crowd control)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First</w:t>
            </w:r>
            <w:r w:rsidR="00587AEE">
              <w:rPr>
                <w:rFonts w:asciiTheme="minorHAnsi" w:hAnsiTheme="minorHAnsi"/>
                <w:sz w:val="20"/>
                <w:szCs w:val="20"/>
              </w:rPr>
              <w:t>-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aid box, fully stocked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Plastic </w:t>
            </w:r>
            <w:r w:rsidR="00587AEE">
              <w:rPr>
                <w:rFonts w:asciiTheme="minorHAnsi" w:hAnsiTheme="minorHAnsi"/>
                <w:sz w:val="20"/>
                <w:szCs w:val="20"/>
              </w:rPr>
              <w:t>t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ables and chairs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T-</w:t>
            </w:r>
            <w:r w:rsidR="00587AEE">
              <w:rPr>
                <w:rFonts w:asciiTheme="minorHAnsi" w:hAnsiTheme="minorHAnsi"/>
                <w:sz w:val="20"/>
                <w:szCs w:val="20"/>
              </w:rPr>
              <w:t>s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hirts, hats</w:t>
            </w:r>
            <w:r w:rsidR="00587AEE">
              <w:rPr>
                <w:rFonts w:asciiTheme="minorHAnsi" w:hAnsiTheme="minorHAnsi"/>
                <w:sz w:val="20"/>
                <w:szCs w:val="20"/>
              </w:rPr>
              <w:t>,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 or arm bands (to identify distribution personnel)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Clip</w:t>
            </w:r>
            <w:r w:rsidR="00587AEE">
              <w:rPr>
                <w:rFonts w:asciiTheme="minorHAnsi" w:hAnsiTheme="minorHAnsi"/>
                <w:sz w:val="20"/>
                <w:szCs w:val="20"/>
              </w:rPr>
              <w:t>b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oards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Stapler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Calculator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White paper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Pencils/pens/permanent markers (to mark ration cards)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587AEE" w:rsidP="00587A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Hole p</w:t>
            </w:r>
            <w:r w:rsidR="00254F33" w:rsidRPr="001C7A37">
              <w:rPr>
                <w:rFonts w:asciiTheme="minorHAnsi" w:hAnsiTheme="minorHAnsi"/>
                <w:sz w:val="20"/>
                <w:szCs w:val="20"/>
              </w:rPr>
              <w:t>unch (to mark ration cards)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Stamp </w:t>
            </w:r>
            <w:r w:rsidR="00587AEE">
              <w:rPr>
                <w:rFonts w:asciiTheme="minorHAnsi" w:hAnsiTheme="minorHAnsi"/>
                <w:sz w:val="20"/>
                <w:szCs w:val="20"/>
              </w:rPr>
              <w:t>p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Anthropometric measurement equipment (if applicable)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Knife/cutter (for opening sacks, cartons</w:t>
            </w:r>
            <w:r w:rsidR="00587AEE">
              <w:rPr>
                <w:rFonts w:asciiTheme="minorHAnsi" w:hAnsiTheme="minorHAnsi"/>
                <w:sz w:val="20"/>
                <w:szCs w:val="20"/>
              </w:rPr>
              <w:t>, and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 tins)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Reconstitution equipment (needles, twine, empty bags, </w:t>
            </w:r>
            <w:r w:rsidR="00587AE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>adhesive tape)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587AEE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Calibrated weighing scale/hanging weighing scales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Scoops, calibrated for each type of commodity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4F33" w:rsidRPr="00ED2C5A" w:rsidTr="00E35460">
        <w:trPr>
          <w:trHeight w:val="403"/>
        </w:trPr>
        <w:tc>
          <w:tcPr>
            <w:tcW w:w="378" w:type="dxa"/>
            <w:vAlign w:val="center"/>
          </w:tcPr>
          <w:p w:rsidR="00254F33" w:rsidRPr="00EC296F" w:rsidRDefault="00254F33" w:rsidP="00254F3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75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1C7A37" w:rsidRDefault="00254F33" w:rsidP="00254F33">
            <w:pPr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>Disposable gloves</w:t>
            </w: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E545C5" w:rsidRDefault="00254F33" w:rsidP="00254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D6824" w:rsidRPr="001A7EC5" w:rsidRDefault="007D6824" w:rsidP="000060B4">
      <w:pPr>
        <w:autoSpaceDE w:val="0"/>
        <w:autoSpaceDN w:val="0"/>
        <w:adjustRightInd w:val="0"/>
        <w:spacing w:before="240" w:after="120"/>
      </w:pPr>
    </w:p>
    <w:sectPr w:rsidR="007D6824" w:rsidRPr="001A7EC5" w:rsidSect="00BB45D4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C1" w:rsidRDefault="00BD52C1" w:rsidP="00D85F72">
      <w:r>
        <w:separator/>
      </w:r>
    </w:p>
  </w:endnote>
  <w:endnote w:type="continuationSeparator" w:id="0">
    <w:p w:rsidR="00BD52C1" w:rsidRDefault="00BD52C1" w:rsidP="00D8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NEJB F+ 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20624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35FC4" w:rsidRPr="001C7A37" w:rsidRDefault="00335FC4" w:rsidP="00D85F72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C7A37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129E">
              <w:rPr>
                <w:rFonts w:asciiTheme="minorHAnsi" w:hAnsiTheme="minorHAnsi"/>
                <w:noProof/>
                <w:sz w:val="20"/>
                <w:szCs w:val="20"/>
              </w:rPr>
              <w:t>11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C7A37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129E">
              <w:rPr>
                <w:rFonts w:asciiTheme="minorHAnsi" w:hAnsiTheme="minorHAnsi"/>
                <w:noProof/>
                <w:sz w:val="20"/>
                <w:szCs w:val="20"/>
              </w:rPr>
              <w:t>12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C1" w:rsidRDefault="00BD52C1" w:rsidP="00D85F72">
      <w:r>
        <w:separator/>
      </w:r>
    </w:p>
  </w:footnote>
  <w:footnote w:type="continuationSeparator" w:id="0">
    <w:p w:rsidR="00BD52C1" w:rsidRDefault="00BD52C1" w:rsidP="00D8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C4" w:rsidRPr="00D85F72" w:rsidRDefault="00335FC4" w:rsidP="00D85F72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1C7A37">
      <w:rPr>
        <w:rFonts w:asciiTheme="minorHAnsi" w:hAnsiTheme="minorHAnsi"/>
        <w:b/>
        <w:bCs/>
        <w:color w:val="237990"/>
        <w:sz w:val="28"/>
        <w:szCs w:val="28"/>
      </w:rPr>
      <w:t>Commodity Management Budget Preparation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A0"/>
    <w:multiLevelType w:val="hybridMultilevel"/>
    <w:tmpl w:val="25A0F548"/>
    <w:lvl w:ilvl="0" w:tplc="08C00784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6605260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E1B13"/>
    <w:multiLevelType w:val="hybridMultilevel"/>
    <w:tmpl w:val="9FEE185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D5281"/>
    <w:multiLevelType w:val="hybridMultilevel"/>
    <w:tmpl w:val="E0C20CE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D1FD0"/>
    <w:multiLevelType w:val="hybridMultilevel"/>
    <w:tmpl w:val="4F80499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B0A65"/>
    <w:multiLevelType w:val="hybridMultilevel"/>
    <w:tmpl w:val="0FCC428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14CF0"/>
    <w:multiLevelType w:val="hybridMultilevel"/>
    <w:tmpl w:val="FA0E817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917E3"/>
    <w:multiLevelType w:val="hybridMultilevel"/>
    <w:tmpl w:val="1AD8513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407E1"/>
    <w:multiLevelType w:val="hybridMultilevel"/>
    <w:tmpl w:val="C6F8BED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84F4E"/>
    <w:multiLevelType w:val="hybridMultilevel"/>
    <w:tmpl w:val="5472F74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8369B"/>
    <w:multiLevelType w:val="hybridMultilevel"/>
    <w:tmpl w:val="4B241FBE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E5226"/>
    <w:multiLevelType w:val="hybridMultilevel"/>
    <w:tmpl w:val="87FA0E68"/>
    <w:lvl w:ilvl="0" w:tplc="08C0078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E0A1F"/>
    <w:multiLevelType w:val="multilevel"/>
    <w:tmpl w:val="E17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263AC"/>
    <w:multiLevelType w:val="hybridMultilevel"/>
    <w:tmpl w:val="1ABACF9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17E33"/>
    <w:multiLevelType w:val="hybridMultilevel"/>
    <w:tmpl w:val="7CECD81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248E7"/>
    <w:multiLevelType w:val="hybridMultilevel"/>
    <w:tmpl w:val="31FCDD1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64F54"/>
    <w:multiLevelType w:val="hybridMultilevel"/>
    <w:tmpl w:val="35F6991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7E0785"/>
    <w:multiLevelType w:val="hybridMultilevel"/>
    <w:tmpl w:val="579A1BB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E7B1B"/>
    <w:multiLevelType w:val="hybridMultilevel"/>
    <w:tmpl w:val="F5988F62"/>
    <w:lvl w:ilvl="0" w:tplc="08C0078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4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0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898"/>
    <w:rsid w:val="00001108"/>
    <w:rsid w:val="000060B4"/>
    <w:rsid w:val="00013F72"/>
    <w:rsid w:val="00026341"/>
    <w:rsid w:val="00033490"/>
    <w:rsid w:val="00072402"/>
    <w:rsid w:val="00095C9F"/>
    <w:rsid w:val="000A3470"/>
    <w:rsid w:val="000B3898"/>
    <w:rsid w:val="000B4F25"/>
    <w:rsid w:val="000B75D5"/>
    <w:rsid w:val="00114675"/>
    <w:rsid w:val="00117260"/>
    <w:rsid w:val="00123D80"/>
    <w:rsid w:val="001443BA"/>
    <w:rsid w:val="00156591"/>
    <w:rsid w:val="00165D64"/>
    <w:rsid w:val="00170DE4"/>
    <w:rsid w:val="0018682C"/>
    <w:rsid w:val="001A1B4D"/>
    <w:rsid w:val="001A7EC5"/>
    <w:rsid w:val="001B14ED"/>
    <w:rsid w:val="001C7A37"/>
    <w:rsid w:val="001D1913"/>
    <w:rsid w:val="001E129E"/>
    <w:rsid w:val="001F5882"/>
    <w:rsid w:val="00204942"/>
    <w:rsid w:val="002243F3"/>
    <w:rsid w:val="002305AD"/>
    <w:rsid w:val="00230F56"/>
    <w:rsid w:val="00254F33"/>
    <w:rsid w:val="00261AF0"/>
    <w:rsid w:val="00261C9D"/>
    <w:rsid w:val="00296255"/>
    <w:rsid w:val="002A6F75"/>
    <w:rsid w:val="002B0F81"/>
    <w:rsid w:val="002C6026"/>
    <w:rsid w:val="002E0D1A"/>
    <w:rsid w:val="002F1EA6"/>
    <w:rsid w:val="003257A5"/>
    <w:rsid w:val="00335FC4"/>
    <w:rsid w:val="00341B54"/>
    <w:rsid w:val="00371343"/>
    <w:rsid w:val="00392193"/>
    <w:rsid w:val="003A6F92"/>
    <w:rsid w:val="003A7D6E"/>
    <w:rsid w:val="003C0014"/>
    <w:rsid w:val="003E46DA"/>
    <w:rsid w:val="003F69E5"/>
    <w:rsid w:val="00404A18"/>
    <w:rsid w:val="004074DF"/>
    <w:rsid w:val="00407BBC"/>
    <w:rsid w:val="00417884"/>
    <w:rsid w:val="0049379D"/>
    <w:rsid w:val="00495CCE"/>
    <w:rsid w:val="004C7B5B"/>
    <w:rsid w:val="004E103B"/>
    <w:rsid w:val="00555592"/>
    <w:rsid w:val="005809C4"/>
    <w:rsid w:val="00587AEE"/>
    <w:rsid w:val="005B636A"/>
    <w:rsid w:val="005B721B"/>
    <w:rsid w:val="005F3B8E"/>
    <w:rsid w:val="005F79AD"/>
    <w:rsid w:val="00610F87"/>
    <w:rsid w:val="00627E22"/>
    <w:rsid w:val="006477FA"/>
    <w:rsid w:val="006478E0"/>
    <w:rsid w:val="00687D19"/>
    <w:rsid w:val="006B252D"/>
    <w:rsid w:val="00702E87"/>
    <w:rsid w:val="00726BE9"/>
    <w:rsid w:val="0073394B"/>
    <w:rsid w:val="007754DF"/>
    <w:rsid w:val="007C5107"/>
    <w:rsid w:val="007D6824"/>
    <w:rsid w:val="007E0B0F"/>
    <w:rsid w:val="007F60EF"/>
    <w:rsid w:val="008265DC"/>
    <w:rsid w:val="0086030B"/>
    <w:rsid w:val="008A7E16"/>
    <w:rsid w:val="008B7A5D"/>
    <w:rsid w:val="008E7F66"/>
    <w:rsid w:val="00921169"/>
    <w:rsid w:val="0094160C"/>
    <w:rsid w:val="00953564"/>
    <w:rsid w:val="009820AC"/>
    <w:rsid w:val="009927A5"/>
    <w:rsid w:val="009C4357"/>
    <w:rsid w:val="00A132CA"/>
    <w:rsid w:val="00A16626"/>
    <w:rsid w:val="00A23C7B"/>
    <w:rsid w:val="00A24DDB"/>
    <w:rsid w:val="00A31133"/>
    <w:rsid w:val="00A572C2"/>
    <w:rsid w:val="00A61817"/>
    <w:rsid w:val="00A9304D"/>
    <w:rsid w:val="00A95668"/>
    <w:rsid w:val="00AA2F33"/>
    <w:rsid w:val="00AB0548"/>
    <w:rsid w:val="00B01CFF"/>
    <w:rsid w:val="00B0460A"/>
    <w:rsid w:val="00B252D3"/>
    <w:rsid w:val="00B327EE"/>
    <w:rsid w:val="00B5246C"/>
    <w:rsid w:val="00B64BD6"/>
    <w:rsid w:val="00B71254"/>
    <w:rsid w:val="00BB45D4"/>
    <w:rsid w:val="00BB74D8"/>
    <w:rsid w:val="00BC25C8"/>
    <w:rsid w:val="00BC2636"/>
    <w:rsid w:val="00BD3441"/>
    <w:rsid w:val="00BD52C1"/>
    <w:rsid w:val="00BF57D9"/>
    <w:rsid w:val="00C060B8"/>
    <w:rsid w:val="00C3594C"/>
    <w:rsid w:val="00C36962"/>
    <w:rsid w:val="00C51F99"/>
    <w:rsid w:val="00CA08F5"/>
    <w:rsid w:val="00CA502F"/>
    <w:rsid w:val="00CC693D"/>
    <w:rsid w:val="00CF6653"/>
    <w:rsid w:val="00D1043F"/>
    <w:rsid w:val="00D27867"/>
    <w:rsid w:val="00D5048C"/>
    <w:rsid w:val="00D52A77"/>
    <w:rsid w:val="00D60EC9"/>
    <w:rsid w:val="00D70AAA"/>
    <w:rsid w:val="00D739F6"/>
    <w:rsid w:val="00D85F72"/>
    <w:rsid w:val="00D95293"/>
    <w:rsid w:val="00E21A4C"/>
    <w:rsid w:val="00E33D88"/>
    <w:rsid w:val="00E35460"/>
    <w:rsid w:val="00E35D0A"/>
    <w:rsid w:val="00E450E8"/>
    <w:rsid w:val="00E545C5"/>
    <w:rsid w:val="00E7483E"/>
    <w:rsid w:val="00EC296F"/>
    <w:rsid w:val="00EE18A6"/>
    <w:rsid w:val="00EE2EDD"/>
    <w:rsid w:val="00F275CC"/>
    <w:rsid w:val="00F35301"/>
    <w:rsid w:val="00F501C2"/>
    <w:rsid w:val="00F5100D"/>
    <w:rsid w:val="00F8506F"/>
    <w:rsid w:val="00F90C69"/>
    <w:rsid w:val="00FA00B5"/>
    <w:rsid w:val="00FE1760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2DB0D-2FD8-4097-A0E1-E75A4E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customStyle="1" w:styleId="Default">
    <w:name w:val="Default"/>
    <w:rsid w:val="000B3898"/>
    <w:pPr>
      <w:autoSpaceDE w:val="0"/>
      <w:autoSpaceDN w:val="0"/>
      <w:adjustRightInd w:val="0"/>
      <w:spacing w:after="0" w:line="240" w:lineRule="auto"/>
    </w:pPr>
    <w:rPr>
      <w:rFonts w:ascii="ONEJB F+ Sabon" w:eastAsia="Times New Roman" w:hAnsi="ONEJB F+ Sabon" w:cs="ONEJB F+ Sabon"/>
      <w:color w:val="000000"/>
      <w:sz w:val="24"/>
      <w:szCs w:val="24"/>
      <w:lang w:val="en-GB" w:eastAsia="en-GB"/>
    </w:rPr>
  </w:style>
  <w:style w:type="paragraph" w:customStyle="1" w:styleId="header2">
    <w:name w:val="header 2"/>
    <w:basedOn w:val="Normal"/>
    <w:rsid w:val="000B3898"/>
    <w:rPr>
      <w:b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8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8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F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8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18A6"/>
    <w:pPr>
      <w:ind w:left="720"/>
      <w:contextualSpacing/>
    </w:pPr>
  </w:style>
  <w:style w:type="table" w:styleId="TableGrid">
    <w:name w:val="Table Grid"/>
    <w:basedOn w:val="TableNormal"/>
    <w:uiPriority w:val="59"/>
    <w:rsid w:val="00E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aid.gov/what-we-do/agriculture-and-food-security/food-assistance/guidance/food-peace-information-bullet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2016-06-05T14:21:00Z</cp:lastPrinted>
  <dcterms:created xsi:type="dcterms:W3CDTF">2017-03-14T13:31:00Z</dcterms:created>
  <dcterms:modified xsi:type="dcterms:W3CDTF">2017-03-16T15:02:00Z</dcterms:modified>
</cp:coreProperties>
</file>