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8" w:rsidRPr="0077744D" w:rsidRDefault="00F26F24" w:rsidP="00C34CAB">
      <w:pPr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77744D">
        <w:rPr>
          <w:rFonts w:asciiTheme="minorHAnsi" w:hAnsiTheme="minorHAnsi" w:cs="Arial"/>
          <w:bCs/>
          <w:sz w:val="22"/>
          <w:szCs w:val="22"/>
        </w:rPr>
        <w:t>A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n independent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(cargo) 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>surveyor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>is an objective third party who observes the discharge of cargo from a ship at a port.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The surveyor prepares a report called a </w:t>
      </w:r>
      <w:r w:rsidR="00243E98" w:rsidRPr="0077744D">
        <w:rPr>
          <w:rFonts w:asciiTheme="minorHAnsi" w:hAnsiTheme="minorHAnsi" w:cs="Arial"/>
          <w:b/>
          <w:bCs/>
          <w:sz w:val="22"/>
          <w:szCs w:val="22"/>
        </w:rPr>
        <w:t>discharge (ex-tackle) survey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, which documents the condition of the cargo, the amount delivered against the </w:t>
      </w:r>
      <w:r w:rsidR="0077744D" w:rsidRPr="0077744D">
        <w:rPr>
          <w:rFonts w:asciiTheme="minorHAnsi" w:hAnsiTheme="minorHAnsi" w:cs="Arial"/>
          <w:bCs/>
          <w:sz w:val="22"/>
          <w:szCs w:val="22"/>
        </w:rPr>
        <w:t>bill of lading (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>B/L</w:t>
      </w:r>
      <w:r w:rsidR="0077744D" w:rsidRPr="0077744D">
        <w:rPr>
          <w:rFonts w:asciiTheme="minorHAnsi" w:hAnsiTheme="minorHAnsi" w:cs="Arial"/>
          <w:bCs/>
          <w:sz w:val="22"/>
          <w:szCs w:val="22"/>
        </w:rPr>
        <w:t>),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 and the cause and nature of any excess, shortages</w:t>
      </w:r>
      <w:r w:rsidR="00054053">
        <w:rPr>
          <w:rFonts w:asciiTheme="minorHAnsi" w:hAnsiTheme="minorHAnsi" w:cs="Arial"/>
          <w:bCs/>
          <w:sz w:val="22"/>
          <w:szCs w:val="22"/>
        </w:rPr>
        <w:t>,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 or damages to the cargo while it is in the control of the shipping company. The discharge survey is used to </w:t>
      </w:r>
      <w:r w:rsidR="00234449">
        <w:rPr>
          <w:rFonts w:asciiTheme="minorHAnsi" w:hAnsiTheme="minorHAnsi" w:cs="Arial"/>
          <w:bCs/>
          <w:sz w:val="22"/>
          <w:szCs w:val="22"/>
        </w:rPr>
        <w:t>establish</w:t>
      </w:r>
      <w:r w:rsidR="00243E98" w:rsidRPr="0077744D">
        <w:rPr>
          <w:rFonts w:asciiTheme="minorHAnsi" w:hAnsiTheme="minorHAnsi" w:cs="Arial"/>
          <w:bCs/>
          <w:sz w:val="22"/>
          <w:szCs w:val="22"/>
        </w:rPr>
        <w:t xml:space="preserve"> responsibility for marine losses.</w:t>
      </w:r>
    </w:p>
    <w:p w:rsidR="00243E98" w:rsidRPr="0077744D" w:rsidRDefault="00243E98" w:rsidP="00C34CAB">
      <w:pPr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77744D">
        <w:rPr>
          <w:rFonts w:asciiTheme="minorHAnsi" w:hAnsiTheme="minorHAnsi" w:cs="Arial"/>
          <w:bCs/>
          <w:sz w:val="22"/>
          <w:szCs w:val="22"/>
        </w:rPr>
        <w:t xml:space="preserve">When a through </w:t>
      </w:r>
      <w:r w:rsidR="0077744D" w:rsidRPr="0077744D">
        <w:rPr>
          <w:rFonts w:asciiTheme="minorHAnsi" w:hAnsiTheme="minorHAnsi" w:cs="Arial"/>
          <w:bCs/>
          <w:sz w:val="22"/>
          <w:szCs w:val="22"/>
        </w:rPr>
        <w:t>bill of lading (T/BL)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is used, an independent surveyor </w:t>
      </w:r>
      <w:r w:rsidR="00F26F24" w:rsidRPr="00234449">
        <w:rPr>
          <w:rFonts w:asciiTheme="minorHAnsi" w:hAnsiTheme="minorHAnsi" w:cs="Arial"/>
          <w:b/>
          <w:bCs/>
          <w:sz w:val="22"/>
          <w:szCs w:val="22"/>
        </w:rPr>
        <w:t>also</w:t>
      </w:r>
      <w:r w:rsidR="00F26F24" w:rsidRPr="0077744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carries out </w:t>
      </w:r>
      <w:r w:rsidR="00F26F24" w:rsidRPr="0077744D">
        <w:rPr>
          <w:rFonts w:asciiTheme="minorHAnsi" w:hAnsiTheme="minorHAnsi" w:cs="Arial"/>
          <w:bCs/>
          <w:sz w:val="22"/>
          <w:szCs w:val="22"/>
        </w:rPr>
        <w:t>a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survey at the time the shipping company transfers custody of the cargo to the Awardee at a designated warehouse. In this </w:t>
      </w:r>
      <w:r w:rsidR="00C8033A" w:rsidRPr="0077744D">
        <w:rPr>
          <w:rFonts w:asciiTheme="minorHAnsi" w:hAnsiTheme="minorHAnsi" w:cs="Arial"/>
          <w:bCs/>
          <w:sz w:val="22"/>
          <w:szCs w:val="22"/>
        </w:rPr>
        <w:t>case,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the survey report is called a </w:t>
      </w:r>
      <w:r w:rsidRPr="0077744D">
        <w:rPr>
          <w:rFonts w:asciiTheme="minorHAnsi" w:hAnsiTheme="minorHAnsi" w:cs="Arial"/>
          <w:b/>
          <w:bCs/>
          <w:sz w:val="22"/>
          <w:szCs w:val="22"/>
        </w:rPr>
        <w:t>delivery survey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54053">
        <w:rPr>
          <w:rFonts w:asciiTheme="minorHAnsi" w:hAnsiTheme="minorHAnsi" w:cs="Arial"/>
          <w:b/>
          <w:bCs/>
          <w:sz w:val="22"/>
          <w:szCs w:val="22"/>
        </w:rPr>
        <w:t>report</w:t>
      </w:r>
      <w:r w:rsidRPr="0077744D">
        <w:rPr>
          <w:rFonts w:asciiTheme="minorHAnsi" w:hAnsiTheme="minorHAnsi" w:cs="Arial"/>
          <w:bCs/>
          <w:sz w:val="22"/>
          <w:szCs w:val="22"/>
        </w:rPr>
        <w:t>.</w:t>
      </w:r>
    </w:p>
    <w:p w:rsidR="00243E98" w:rsidRPr="0077744D" w:rsidRDefault="00243E98" w:rsidP="00C34CAB">
      <w:pPr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77744D">
        <w:rPr>
          <w:rFonts w:asciiTheme="minorHAnsi" w:hAnsiTheme="minorHAnsi" w:cs="Arial"/>
          <w:bCs/>
          <w:sz w:val="22"/>
          <w:szCs w:val="22"/>
        </w:rPr>
        <w:t>The Awardee must engage the service of an independent surveyor for the discharge survey, unless FFP communicates (in writing) that such surveys are not feasible in the specific port</w:t>
      </w:r>
      <w:r w:rsidR="00234449">
        <w:rPr>
          <w:rFonts w:asciiTheme="minorHAnsi" w:hAnsiTheme="minorHAnsi" w:cs="Arial"/>
          <w:bCs/>
          <w:sz w:val="22"/>
          <w:szCs w:val="22"/>
        </w:rPr>
        <w:t>,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or USAID’s CCC has made other provisions for such examinations and reports.</w:t>
      </w:r>
      <w:r w:rsidR="0023444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449" w:rsidRPr="00234449">
        <w:rPr>
          <w:rFonts w:asciiTheme="minorHAnsi" w:hAnsiTheme="minorHAnsi" w:cs="Arial"/>
          <w:b/>
          <w:bCs/>
          <w:sz w:val="22"/>
          <w:szCs w:val="22"/>
        </w:rPr>
        <w:t>Always verify with your local mission any current USAID requirements concerning independent surveyors</w:t>
      </w:r>
      <w:r w:rsidR="00234449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E712C0" w:rsidRPr="0077744D" w:rsidRDefault="00E712C0" w:rsidP="00C34CAB">
      <w:pPr>
        <w:spacing w:after="200" w:line="252" w:lineRule="auto"/>
        <w:rPr>
          <w:rFonts w:asciiTheme="minorHAnsi" w:hAnsiTheme="minorHAnsi" w:cs="Arial"/>
          <w:bCs/>
          <w:sz w:val="22"/>
          <w:szCs w:val="22"/>
        </w:rPr>
      </w:pPr>
      <w:r w:rsidRPr="0077744D">
        <w:rPr>
          <w:rFonts w:asciiTheme="minorHAnsi" w:hAnsiTheme="minorHAnsi" w:cs="Arial"/>
          <w:bCs/>
          <w:sz w:val="22"/>
          <w:szCs w:val="22"/>
        </w:rPr>
        <w:t xml:space="preserve">Upon submission of invoice from surveyor and certification of survey fees paid, </w:t>
      </w:r>
      <w:r w:rsidR="00DC3680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CCC will reimburse </w:t>
      </w:r>
      <w:r w:rsidR="00014D0D" w:rsidRPr="0077744D">
        <w:rPr>
          <w:rFonts w:asciiTheme="minorHAnsi" w:hAnsiTheme="minorHAnsi" w:cs="Arial"/>
          <w:bCs/>
          <w:sz w:val="22"/>
          <w:szCs w:val="22"/>
        </w:rPr>
        <w:t>the Awardee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for </w:t>
      </w:r>
      <w:r w:rsidR="00014D0D" w:rsidRPr="0077744D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cost of discharge surveys. </w:t>
      </w:r>
      <w:r w:rsidR="00DC3680">
        <w:rPr>
          <w:rFonts w:asciiTheme="minorHAnsi" w:hAnsiTheme="minorHAnsi" w:cs="Arial"/>
          <w:bCs/>
          <w:sz w:val="22"/>
          <w:szCs w:val="22"/>
        </w:rPr>
        <w:t>The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 CCC will also reimburse </w:t>
      </w:r>
      <w:r w:rsidR="00014D0D" w:rsidRPr="0077744D">
        <w:rPr>
          <w:rFonts w:asciiTheme="minorHAnsi" w:hAnsiTheme="minorHAnsi" w:cs="Arial"/>
          <w:bCs/>
          <w:sz w:val="22"/>
          <w:szCs w:val="22"/>
        </w:rPr>
        <w:t xml:space="preserve">the Awardee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for the cost of a survey that the </w:t>
      </w:r>
      <w:r w:rsidR="00014D0D" w:rsidRPr="0077744D">
        <w:rPr>
          <w:rFonts w:asciiTheme="minorHAnsi" w:hAnsiTheme="minorHAnsi" w:cs="Arial"/>
          <w:bCs/>
          <w:sz w:val="22"/>
          <w:szCs w:val="22"/>
        </w:rPr>
        <w:t xml:space="preserve">Awardee </w:t>
      </w:r>
      <w:r w:rsidRPr="0077744D">
        <w:rPr>
          <w:rFonts w:asciiTheme="minorHAnsi" w:hAnsiTheme="minorHAnsi" w:cs="Arial"/>
          <w:bCs/>
          <w:sz w:val="22"/>
          <w:szCs w:val="22"/>
        </w:rPr>
        <w:t>determines is necessary to control cargo and/or prevent losses in the port area (ex-warehouse survey), or for cargoes moving into landlocked countries (survey at the point of entry into the country</w:t>
      </w:r>
      <w:r w:rsidR="0077744D" w:rsidRPr="0077744D">
        <w:rPr>
          <w:rFonts w:asciiTheme="minorHAnsi" w:hAnsiTheme="minorHAnsi" w:cs="Arial"/>
          <w:bCs/>
          <w:sz w:val="22"/>
          <w:szCs w:val="22"/>
        </w:rPr>
        <w:t>,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) </w:t>
      </w:r>
      <w:r w:rsidRPr="00234449">
        <w:rPr>
          <w:rFonts w:asciiTheme="minorHAnsi" w:hAnsiTheme="minorHAnsi" w:cs="Arial"/>
          <w:b/>
          <w:bCs/>
          <w:sz w:val="22"/>
          <w:szCs w:val="22"/>
        </w:rPr>
        <w:t>only</w:t>
      </w:r>
      <w:r w:rsidRPr="00DC368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7744D">
        <w:rPr>
          <w:rFonts w:asciiTheme="minorHAnsi" w:hAnsiTheme="minorHAnsi" w:cs="Arial"/>
          <w:bCs/>
          <w:sz w:val="22"/>
          <w:szCs w:val="22"/>
        </w:rPr>
        <w:t xml:space="preserve">if accompanied by an ex-tackle survey.  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FA3ADF" w:rsidRPr="00F61241" w:rsidTr="00657B7E">
        <w:tc>
          <w:tcPr>
            <w:tcW w:w="9243" w:type="dxa"/>
            <w:gridSpan w:val="2"/>
          </w:tcPr>
          <w:p w:rsidR="00FA3ADF" w:rsidRPr="00CC0D31" w:rsidRDefault="00CC0D31" w:rsidP="00C8033A">
            <w:pPr>
              <w:spacing w:before="12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 xml:space="preserve">Recommended </w:t>
            </w:r>
            <w:r w:rsidR="00FA3ADF" w:rsidRPr="00CC0D31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Qualifications</w:t>
            </w:r>
          </w:p>
        </w:tc>
      </w:tr>
      <w:tr w:rsidR="00F61241" w:rsidRPr="00F61241" w:rsidTr="00D71B50">
        <w:trPr>
          <w:cantSplit/>
        </w:trPr>
        <w:tc>
          <w:tcPr>
            <w:tcW w:w="648" w:type="dxa"/>
          </w:tcPr>
          <w:p w:rsidR="00F61241" w:rsidRPr="00D95328" w:rsidRDefault="00F61241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F61241" w:rsidRPr="00D95328" w:rsidRDefault="00A6364B" w:rsidP="00C8033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/>
                <w:sz w:val="20"/>
                <w:szCs w:val="20"/>
              </w:rPr>
              <w:t>Certified to survey food commodities</w:t>
            </w:r>
          </w:p>
        </w:tc>
      </w:tr>
      <w:tr w:rsidR="00A6364B" w:rsidRPr="00F61241" w:rsidTr="00D71B50">
        <w:trPr>
          <w:cantSplit/>
        </w:trPr>
        <w:tc>
          <w:tcPr>
            <w:tcW w:w="648" w:type="dxa"/>
          </w:tcPr>
          <w:p w:rsidR="00A6364B" w:rsidRPr="00D95328" w:rsidRDefault="00A6364B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A6364B" w:rsidRPr="00D95328" w:rsidRDefault="00A6364B" w:rsidP="00C8033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Licensed to operate in country</w:t>
            </w:r>
          </w:p>
        </w:tc>
      </w:tr>
      <w:tr w:rsidR="00A6364B" w:rsidRPr="00F61241" w:rsidTr="00D71B50">
        <w:trPr>
          <w:cantSplit/>
        </w:trPr>
        <w:tc>
          <w:tcPr>
            <w:tcW w:w="648" w:type="dxa"/>
          </w:tcPr>
          <w:p w:rsidR="00A6364B" w:rsidRPr="00D95328" w:rsidRDefault="00A6364B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A6364B" w:rsidRPr="00D95328" w:rsidRDefault="00A6364B" w:rsidP="00CC0D3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Knowledgeable of actions to be taken to ensure cargo moves through the port with the fewest losses possible and, when losses do occur, 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 xml:space="preserve">knowledgeable of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what actions, statements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or documents are available and need to be obtained to substantiate a claim against the liable party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EC2E86">
            <w:pPr>
              <w:spacing w:before="120"/>
              <w:rPr>
                <w:rFonts w:ascii="Calibri" w:eastAsiaTheme="minorHAnsi" w:hAnsi="Calibri" w:cstheme="minorBidi"/>
                <w:sz w:val="24"/>
                <w:szCs w:val="24"/>
              </w:rPr>
            </w:pPr>
            <w:r w:rsidRPr="00D95328">
              <w:rPr>
                <w:rFonts w:ascii="Calibri" w:eastAsiaTheme="minorHAnsi" w:hAnsi="Calibr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C8033A">
            <w:pPr>
              <w:spacing w:before="120" w:after="40"/>
              <w:rPr>
                <w:rFonts w:ascii="Calibri" w:eastAsiaTheme="minorHAnsi" w:hAnsi="Calibri" w:cs="Arial"/>
                <w:sz w:val="20"/>
                <w:szCs w:val="20"/>
              </w:rPr>
            </w:pPr>
            <w:r w:rsidRPr="00D95328">
              <w:rPr>
                <w:rFonts w:ascii="Calibri" w:hAnsi="Calibri" w:cs="Arial"/>
                <w:color w:val="000000"/>
                <w:sz w:val="20"/>
                <w:szCs w:val="20"/>
              </w:rPr>
              <w:t>Familiar with the local rules and regulations with respect to USAID/FFP shipments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EC2E86">
            <w:pPr>
              <w:spacing w:before="120"/>
              <w:rPr>
                <w:rFonts w:ascii="Calibri" w:eastAsiaTheme="minorHAnsi" w:hAnsi="Calibri" w:cstheme="minorBidi"/>
                <w:sz w:val="24"/>
                <w:szCs w:val="24"/>
              </w:rPr>
            </w:pPr>
            <w:r w:rsidRPr="00D95328">
              <w:rPr>
                <w:rFonts w:ascii="Calibri" w:eastAsiaTheme="minorHAnsi" w:hAnsi="Calibr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C8033A">
            <w:pPr>
              <w:tabs>
                <w:tab w:val="num" w:pos="1008"/>
              </w:tabs>
              <w:spacing w:before="120" w:after="40"/>
              <w:rPr>
                <w:rFonts w:ascii="Calibri" w:eastAsiaTheme="minorHAnsi" w:hAnsi="Calibri" w:cs="Arial"/>
                <w:sz w:val="20"/>
                <w:szCs w:val="20"/>
              </w:rPr>
            </w:pPr>
            <w:r w:rsidRPr="00D9532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References from others (preferably NGOs) who have used </w:t>
            </w:r>
            <w:r w:rsidR="00B93A1F" w:rsidRPr="00D95328">
              <w:rPr>
                <w:rFonts w:ascii="Calibri" w:hAnsi="Calibri" w:cs="Arial"/>
                <w:color w:val="000000"/>
                <w:sz w:val="20"/>
                <w:szCs w:val="20"/>
              </w:rPr>
              <w:t>surveyor’s</w:t>
            </w:r>
            <w:r w:rsidRPr="00D9532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services</w:t>
            </w:r>
          </w:p>
        </w:tc>
      </w:tr>
      <w:tr w:rsidR="00DC3680" w:rsidRPr="00F61241" w:rsidTr="00D71B50">
        <w:trPr>
          <w:cantSplit/>
        </w:trPr>
        <w:tc>
          <w:tcPr>
            <w:tcW w:w="648" w:type="dxa"/>
          </w:tcPr>
          <w:p w:rsidR="00DC3680" w:rsidRPr="00D95328" w:rsidRDefault="00DC3680" w:rsidP="00EC2E86">
            <w:pPr>
              <w:spacing w:before="120"/>
              <w:rPr>
                <w:rFonts w:ascii="Calibri" w:eastAsiaTheme="minorHAnsi" w:hAnsi="Calibri" w:cstheme="minorBidi"/>
                <w:sz w:val="24"/>
                <w:szCs w:val="24"/>
              </w:rPr>
            </w:pPr>
            <w:r w:rsidRPr="00D95328">
              <w:rPr>
                <w:rFonts w:ascii="Calibri" w:eastAsiaTheme="minorHAnsi" w:hAnsi="Calibr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C3680" w:rsidRPr="00D95328" w:rsidRDefault="00DC3680" w:rsidP="00C8033A">
            <w:pPr>
              <w:tabs>
                <w:tab w:val="num" w:pos="1008"/>
              </w:tabs>
              <w:spacing w:before="120" w:after="4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9532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Approved by USAID 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054053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To avoid conflict of interest, an independent surveyor </w:t>
            </w:r>
            <w:r w:rsidRPr="00234449">
              <w:rPr>
                <w:rFonts w:asciiTheme="minorHAnsi" w:hAnsiTheme="minorHAnsi" w:cs="Arial"/>
                <w:b/>
                <w:sz w:val="20"/>
                <w:szCs w:val="20"/>
              </w:rPr>
              <w:t>cannot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also be a clearing and forwarding agent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 xml:space="preserve"> or a surveyor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for the shipping company</w:t>
            </w:r>
          </w:p>
        </w:tc>
      </w:tr>
      <w:tr w:rsidR="00D240D9" w:rsidRPr="00F61241" w:rsidTr="000E54AF">
        <w:tc>
          <w:tcPr>
            <w:tcW w:w="9243" w:type="dxa"/>
            <w:gridSpan w:val="2"/>
          </w:tcPr>
          <w:p w:rsidR="00D240D9" w:rsidRPr="00CC0D31" w:rsidRDefault="00D240D9" w:rsidP="00C8033A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</w:tabs>
              <w:spacing w:before="120" w:after="60"/>
              <w:rPr>
                <w:rFonts w:asciiTheme="minorHAnsi" w:hAnsiTheme="minorHAnsi"/>
                <w:color w:val="237990"/>
                <w:sz w:val="24"/>
                <w:szCs w:val="24"/>
              </w:rPr>
            </w:pPr>
            <w:r w:rsidRPr="00CC0D31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Specific Duties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C8033A">
            <w:pPr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Liaise with the vessel agents with regard to the discharge of cargo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05405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Conduct on-board vessel hatch survey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and i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mmediately contact Awardee in the event of major damage of cargo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C3680" w:rsidRPr="00F61241" w:rsidTr="00D71B50">
        <w:trPr>
          <w:cantSplit/>
        </w:trPr>
        <w:tc>
          <w:tcPr>
            <w:tcW w:w="648" w:type="dxa"/>
          </w:tcPr>
          <w:p w:rsidR="00DC3680" w:rsidRPr="00D95328" w:rsidRDefault="00DC3680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C3680" w:rsidRPr="00D95328" w:rsidRDefault="00DC3680" w:rsidP="00C8033A">
            <w:pPr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Inspect lighter vessels (where applicable)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C8033A">
            <w:pPr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Engage sufficient labor to obtain an accurate discharge tally, and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if applicable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an inland delivery tally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05405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>hysically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observe discharge of all cargo from the vessel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 and, i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f applicable, personally observe the delivery of all bulk cargo from the inland conveyance and bagging operations</w:t>
            </w:r>
            <w:r w:rsidR="004F4B47" w:rsidRPr="00D9532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193EE4" w:rsidRPr="00F61241" w:rsidTr="00D71B50">
        <w:trPr>
          <w:cantSplit/>
        </w:trPr>
        <w:tc>
          <w:tcPr>
            <w:tcW w:w="648" w:type="dxa"/>
          </w:tcPr>
          <w:p w:rsidR="00193EE4" w:rsidRPr="00D95328" w:rsidRDefault="00193EE4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193EE4" w:rsidRPr="00D95328" w:rsidRDefault="00193EE4" w:rsidP="00193EE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Report on discharging method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including whether a scale was used, its type and calibration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and other factors affecting its accuracy, or an explanation of why a scale was not used and how weight was determined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If cargo is bagged or stacked by vessel interests, furnish daily tally totals and any other pertinent information about the bagging of bulk cargo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193EE4" w:rsidRPr="00F61241" w:rsidTr="00D71B50">
        <w:trPr>
          <w:cantSplit/>
        </w:trPr>
        <w:tc>
          <w:tcPr>
            <w:tcW w:w="648" w:type="dxa"/>
          </w:tcPr>
          <w:p w:rsidR="00193EE4" w:rsidRPr="00D95328" w:rsidRDefault="00193EE4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sym w:font="Webdings" w:char="F063"/>
            </w:r>
          </w:p>
        </w:tc>
        <w:tc>
          <w:tcPr>
            <w:tcW w:w="8595" w:type="dxa"/>
          </w:tcPr>
          <w:p w:rsidR="00193EE4" w:rsidRPr="00D95328" w:rsidRDefault="00193EE4" w:rsidP="00C8033A">
            <w:pPr>
              <w:spacing w:before="120" w:after="4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Furnish information as to whether cargo was discharged in accordance with port customs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054053">
            <w:pPr>
              <w:tabs>
                <w:tab w:val="num" w:pos="360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Examine and verify cargo containers and seals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and, i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f seals are broken or missing at time of discharge </w:t>
            </w:r>
            <w:r w:rsidR="00B93A1F" w:rsidRPr="00D95328">
              <w:rPr>
                <w:rFonts w:asciiTheme="minorHAnsi" w:hAnsiTheme="minorHAnsi" w:cs="Arial"/>
                <w:sz w:val="20"/>
                <w:szCs w:val="20"/>
              </w:rPr>
              <w:t>or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delivery, 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 xml:space="preserve">immediately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issue a Letter of Protest 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>with photographs)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C3680" w:rsidRPr="00D953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Tally break bulk and container cargo to determine losses occurring before, during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and after discharge (de-stuffing) and/or delivery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(Tally stokes must be accurate and forwarded with the survey report.)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D240D9" w:rsidP="004F4B47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4F4B47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If cargo is damaged, ensure s</w:t>
            </w:r>
            <w:r w:rsidR="00D240D9" w:rsidRPr="00D95328">
              <w:rPr>
                <w:rFonts w:asciiTheme="minorHAnsi" w:hAnsiTheme="minorHAnsi" w:cs="Arial"/>
                <w:sz w:val="20"/>
                <w:szCs w:val="20"/>
              </w:rPr>
              <w:t>egregat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ion,</w:t>
            </w:r>
            <w:r w:rsidR="00D240D9" w:rsidRPr="00D95328">
              <w:rPr>
                <w:rFonts w:asciiTheme="minorHAnsi" w:hAnsiTheme="minorHAnsi" w:cs="Arial"/>
                <w:sz w:val="20"/>
                <w:szCs w:val="20"/>
              </w:rPr>
              <w:t xml:space="preserve"> maintain separate tallies,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and d</w:t>
            </w:r>
            <w:r w:rsidR="00D240D9" w:rsidRPr="00D95328">
              <w:rPr>
                <w:rFonts w:asciiTheme="minorHAnsi" w:hAnsiTheme="minorHAnsi" w:cs="Arial"/>
                <w:sz w:val="20"/>
                <w:szCs w:val="20"/>
              </w:rPr>
              <w:t xml:space="preserve">ocument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quantity and condition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240D9" w:rsidRPr="00D9532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4F4B47" w:rsidRPr="00F61241" w:rsidTr="00D71B50">
        <w:trPr>
          <w:cantSplit/>
        </w:trPr>
        <w:tc>
          <w:tcPr>
            <w:tcW w:w="648" w:type="dxa"/>
          </w:tcPr>
          <w:p w:rsidR="004F4B47" w:rsidRPr="00D95328" w:rsidRDefault="004F4B47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4F4B47" w:rsidRPr="00D95328" w:rsidRDefault="009E73AD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Document reconstitution efforts, including where, when, and how the reconstitution weights were determined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240D9" w:rsidRPr="00F61241" w:rsidTr="00D71B50">
        <w:trPr>
          <w:cantSplit/>
        </w:trPr>
        <w:tc>
          <w:tcPr>
            <w:tcW w:w="648" w:type="dxa"/>
          </w:tcPr>
          <w:p w:rsidR="00D240D9" w:rsidRPr="00D95328" w:rsidRDefault="004F4B47" w:rsidP="006771BF">
            <w:pPr>
              <w:spacing w:before="120" w:after="8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240D9" w:rsidRPr="00D95328" w:rsidRDefault="00D240D9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Draw samples of suspect cargoes in the presence of the </w:t>
            </w:r>
            <w:r w:rsidR="00B93A1F" w:rsidRPr="00D95328">
              <w:rPr>
                <w:rFonts w:asciiTheme="minorHAnsi" w:hAnsiTheme="minorHAnsi" w:cs="Arial"/>
                <w:sz w:val="20"/>
                <w:szCs w:val="20"/>
              </w:rPr>
              <w:t>vessel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’s agents</w:t>
            </w:r>
            <w:r w:rsidR="00B93A1F" w:rsidRPr="00D95328">
              <w:rPr>
                <w:rFonts w:asciiTheme="minorHAnsi" w:hAnsiTheme="minorHAnsi" w:cs="Arial"/>
                <w:sz w:val="20"/>
                <w:szCs w:val="20"/>
              </w:rPr>
              <w:t>, and o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btain and forward health officer’s certificate(s) and laboratory analysis for any c</w:t>
            </w:r>
            <w:r w:rsidR="00B93A1F" w:rsidRPr="00D95328">
              <w:rPr>
                <w:rFonts w:asciiTheme="minorHAnsi" w:hAnsiTheme="minorHAnsi" w:cs="Arial"/>
                <w:sz w:val="20"/>
                <w:szCs w:val="20"/>
              </w:rPr>
              <w:t>ommodity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suspected to be unfit, as well as any destruction or disposal documentation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Verify that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upon conclusion of discharge, cargo holds are empty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4D7D8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Obtain copies of port and/or ship records 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including scale weights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where applicable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to show quantity discharged</w:t>
            </w:r>
            <w:r w:rsidR="0005405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Compare the vessel outturn report with own independently observed survey report; attempt to resolve all discrepancies (If not resolved, initiate communications to determine why discrepancies exist.)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Notify Awardee immediately if additional services are necessary to protect cargo or if the surveyor has reason to believe that the correct quantity was not discharged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Submit a Letter of Protest to the captain of the vessel, in writing, </w:t>
            </w:r>
            <w:r w:rsidRPr="00234449">
              <w:rPr>
                <w:rFonts w:asciiTheme="minorHAnsi" w:hAnsiTheme="minorHAnsi" w:cs="Arial"/>
                <w:b/>
                <w:sz w:val="20"/>
                <w:szCs w:val="20"/>
              </w:rPr>
              <w:t xml:space="preserve">within </w:t>
            </w:r>
            <w:r w:rsidR="004D7D89">
              <w:rPr>
                <w:rFonts w:asciiTheme="minorHAnsi" w:hAnsiTheme="minorHAnsi" w:cs="Arial"/>
                <w:b/>
                <w:sz w:val="20"/>
                <w:szCs w:val="20"/>
              </w:rPr>
              <w:t>three (</w:t>
            </w:r>
            <w:r w:rsidRPr="00234449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D7D89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234449">
              <w:rPr>
                <w:rFonts w:asciiTheme="minorHAnsi" w:hAnsiTheme="minorHAnsi" w:cs="Arial"/>
                <w:b/>
                <w:sz w:val="20"/>
                <w:szCs w:val="20"/>
              </w:rPr>
              <w:t xml:space="preserve"> days</w:t>
            </w:r>
            <w:r w:rsidRPr="00D9532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of completion of the discharge and/or delivery, describing all losses that were observed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4D7D8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Furnish any information 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that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would be beneficial concerning how losses occurred and actions for future loss prevention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4D7D8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Provide USDA 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 xml:space="preserve">with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information as to quantity, type, and cause of lost or damaged cargo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If port transit sheds/warehouses 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>used, inspect and document facilities and condition of cargo while in the facilities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4D7D89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If cargo is loaded onto trucks, inspect trucks, personally observe loading, and ensure all 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loaded cargo</w:t>
            </w: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is tallied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9D6B40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4D7D89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 T</w:t>
            </w:r>
            <w:r w:rsidR="00D71B50" w:rsidRPr="00D95328">
              <w:rPr>
                <w:rFonts w:asciiTheme="minorHAnsi" w:hAnsiTheme="minorHAnsi" w:cs="Arial"/>
                <w:sz w:val="20"/>
                <w:szCs w:val="20"/>
              </w:rPr>
              <w:t>B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71B50" w:rsidRPr="00D95328">
              <w:rPr>
                <w:rFonts w:asciiTheme="minorHAnsi" w:hAnsiTheme="minorHAnsi" w:cs="Arial"/>
                <w:sz w:val="20"/>
                <w:szCs w:val="20"/>
              </w:rPr>
              <w:t>L shipments, attend, monitor, and report on the discharge at port, the loading of the cargo onto land and/or sea conveyances for movement inland, and the delivery of the cargo at the inland delivery location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C0D31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Provide a timely and detailed survey report with originals of all pertinent documents attached</w:t>
            </w:r>
            <w:r w:rsidR="004D7D89">
              <w:rPr>
                <w:rFonts w:asciiTheme="minorHAnsi" w:hAnsiTheme="minorHAnsi" w:cs="Arial"/>
                <w:sz w:val="20"/>
                <w:szCs w:val="20"/>
              </w:rPr>
              <w:t>.</w:t>
            </w:r>
            <w:bookmarkStart w:id="0" w:name="_GoBack"/>
            <w:bookmarkEnd w:id="0"/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 (When submitting documents or correspondence prepared in a language other than English, also forward a literal English translation.)</w:t>
            </w:r>
          </w:p>
        </w:tc>
      </w:tr>
      <w:tr w:rsidR="00D71B50" w:rsidRPr="00F61241" w:rsidTr="002242DD">
        <w:tc>
          <w:tcPr>
            <w:tcW w:w="9243" w:type="dxa"/>
            <w:gridSpan w:val="2"/>
          </w:tcPr>
          <w:p w:rsidR="00D71B50" w:rsidRPr="00CC0D31" w:rsidRDefault="00D71B50" w:rsidP="00C8033A">
            <w:pPr>
              <w:spacing w:before="120" w:after="60"/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</w:pPr>
            <w:r w:rsidRPr="00CC0D31">
              <w:rPr>
                <w:rFonts w:asciiTheme="minorHAnsi" w:hAnsiTheme="minorHAnsi" w:cs="Arial"/>
                <w:b/>
                <w:color w:val="237990"/>
                <w:sz w:val="24"/>
                <w:szCs w:val="24"/>
              </w:rPr>
              <w:t>Clauses to Include in Contract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EC2E86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 xml:space="preserve">Name(s) and title(s) of Awardee staff member to whom surveyor reports 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EC2E86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Right to sub-contract only with Awardee approval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34CAB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Maximum time allowed to perform contract services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34CAB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/>
                <w:sz w:val="20"/>
                <w:szCs w:val="20"/>
              </w:rPr>
              <w:t>Procedures for handling damaged or suspect commodity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34CAB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Contractor provision of insurance to cover losses, and/or, as necessary, posting of performance bonds</w:t>
            </w:r>
          </w:p>
        </w:tc>
      </w:tr>
      <w:tr w:rsidR="00D71B50" w:rsidRPr="00F61241" w:rsidTr="00D71B50">
        <w:trPr>
          <w:cantSplit/>
        </w:trPr>
        <w:tc>
          <w:tcPr>
            <w:tcW w:w="648" w:type="dxa"/>
          </w:tcPr>
          <w:p w:rsidR="00D71B50" w:rsidRPr="00D95328" w:rsidRDefault="00D71B50" w:rsidP="00C34CAB">
            <w:pPr>
              <w:spacing w:before="1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95328">
              <w:rPr>
                <w:rFonts w:asciiTheme="minorHAnsi" w:eastAsiaTheme="minorHAnsi" w:hAnsiTheme="minorHAnsi" w:cstheme="minorBidi"/>
                <w:sz w:val="24"/>
                <w:szCs w:val="24"/>
              </w:rPr>
              <w:sym w:font="Webdings" w:char="F063"/>
            </w:r>
          </w:p>
        </w:tc>
        <w:tc>
          <w:tcPr>
            <w:tcW w:w="8595" w:type="dxa"/>
          </w:tcPr>
          <w:p w:rsidR="00D71B50" w:rsidRPr="00D95328" w:rsidRDefault="00D71B50" w:rsidP="00D71B5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D95328">
              <w:rPr>
                <w:rFonts w:asciiTheme="minorHAnsi" w:hAnsiTheme="minorHAnsi" w:cs="Arial"/>
                <w:sz w:val="20"/>
                <w:szCs w:val="20"/>
              </w:rPr>
              <w:t>Payment terms (Require the contractor to submit invoices within a limited number of days after shipment is discharged; generally only pay for a service when it is completed at a satisfactory level.)</w:t>
            </w:r>
          </w:p>
        </w:tc>
      </w:tr>
    </w:tbl>
    <w:p w:rsidR="00CC0D31" w:rsidRDefault="00CC0D31" w:rsidP="00CC0D31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CC0D31" w:rsidSect="00243E9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1C" w:rsidRDefault="00E4631C" w:rsidP="00243E98">
      <w:r>
        <w:separator/>
      </w:r>
    </w:p>
  </w:endnote>
  <w:endnote w:type="continuationSeparator" w:id="0">
    <w:p w:rsidR="00E4631C" w:rsidRDefault="00E4631C" w:rsidP="0024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819052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43E98" w:rsidRPr="00BB350C" w:rsidRDefault="00243E98" w:rsidP="00243E98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350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BB350C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7D8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B350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BB350C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7D8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7124B" w:rsidRPr="00BB350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1C" w:rsidRDefault="00E4631C" w:rsidP="00243E98">
      <w:r>
        <w:separator/>
      </w:r>
    </w:p>
  </w:footnote>
  <w:footnote w:type="continuationSeparator" w:id="0">
    <w:p w:rsidR="00E4631C" w:rsidRDefault="00E4631C" w:rsidP="0024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8" w:rsidRDefault="00243E98" w:rsidP="00243E98">
    <w:pPr>
      <w:pStyle w:val="Header"/>
      <w:jc w:val="center"/>
    </w:pPr>
    <w:r w:rsidRPr="0077240E">
      <w:rPr>
        <w:rFonts w:asciiTheme="minorHAnsi" w:hAnsiTheme="minorHAnsi" w:cs="Arial"/>
        <w:b/>
        <w:bCs/>
        <w:color w:val="237990"/>
        <w:sz w:val="28"/>
        <w:szCs w:val="28"/>
      </w:rPr>
      <w:t>Independent Survey</w:t>
    </w:r>
    <w:r w:rsidR="00E6779B" w:rsidRPr="0077240E">
      <w:rPr>
        <w:rFonts w:asciiTheme="minorHAnsi" w:hAnsiTheme="minorHAnsi" w:cs="Arial"/>
        <w:b/>
        <w:bCs/>
        <w:color w:val="237990"/>
        <w:sz w:val="28"/>
        <w:szCs w:val="28"/>
      </w:rPr>
      <w:t>or</w:t>
    </w:r>
    <w:r w:rsidRPr="0077240E">
      <w:rPr>
        <w:rFonts w:asciiTheme="minorHAnsi" w:hAnsiTheme="minorHAnsi" w:cs="Arial"/>
        <w:b/>
        <w:bCs/>
        <w:color w:val="237990"/>
        <w:sz w:val="28"/>
        <w:szCs w:val="28"/>
      </w:rPr>
      <w:t xml:space="preserve"> </w:t>
    </w:r>
    <w:r w:rsidR="00A525A3" w:rsidRPr="0077240E">
      <w:rPr>
        <w:rFonts w:asciiTheme="minorHAnsi" w:hAnsiTheme="minorHAnsi"/>
        <w:b/>
        <w:bCs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D66"/>
    <w:multiLevelType w:val="hybridMultilevel"/>
    <w:tmpl w:val="FC0C104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2051A"/>
    <w:multiLevelType w:val="hybridMultilevel"/>
    <w:tmpl w:val="C660F5E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45"/>
    <w:multiLevelType w:val="hybridMultilevel"/>
    <w:tmpl w:val="5B900570"/>
    <w:lvl w:ilvl="0" w:tplc="F7066DA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1690E"/>
    <w:multiLevelType w:val="hybridMultilevel"/>
    <w:tmpl w:val="970C0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9C31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A2930"/>
    <w:multiLevelType w:val="hybridMultilevel"/>
    <w:tmpl w:val="05F0278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BA6"/>
    <w:multiLevelType w:val="hybridMultilevel"/>
    <w:tmpl w:val="00D8A0A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15B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3A3D83"/>
    <w:multiLevelType w:val="hybridMultilevel"/>
    <w:tmpl w:val="1E04D084"/>
    <w:lvl w:ilvl="0" w:tplc="C8A02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DDB"/>
    <w:multiLevelType w:val="hybridMultilevel"/>
    <w:tmpl w:val="312C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399B"/>
    <w:multiLevelType w:val="hybridMultilevel"/>
    <w:tmpl w:val="3EA46B74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2B10"/>
    <w:multiLevelType w:val="hybridMultilevel"/>
    <w:tmpl w:val="625E10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45BF2"/>
    <w:multiLevelType w:val="hybridMultilevel"/>
    <w:tmpl w:val="CE8EB2AE"/>
    <w:lvl w:ilvl="0" w:tplc="C8A02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5245"/>
    <w:multiLevelType w:val="hybridMultilevel"/>
    <w:tmpl w:val="F25E81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A5D8A"/>
    <w:multiLevelType w:val="hybridMultilevel"/>
    <w:tmpl w:val="724E8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4012B"/>
    <w:multiLevelType w:val="hybridMultilevel"/>
    <w:tmpl w:val="1E1C9690"/>
    <w:lvl w:ilvl="0" w:tplc="5E80D3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67"/>
    <w:multiLevelType w:val="hybridMultilevel"/>
    <w:tmpl w:val="9C1695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511A22"/>
    <w:multiLevelType w:val="hybridMultilevel"/>
    <w:tmpl w:val="5F2C9E68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20DA"/>
    <w:multiLevelType w:val="hybridMultilevel"/>
    <w:tmpl w:val="9F7AA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D4E64"/>
    <w:multiLevelType w:val="hybridMultilevel"/>
    <w:tmpl w:val="2AD8FB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22455"/>
    <w:multiLevelType w:val="hybridMultilevel"/>
    <w:tmpl w:val="02387A9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53FC6"/>
    <w:multiLevelType w:val="hybridMultilevel"/>
    <w:tmpl w:val="AD74D07C"/>
    <w:lvl w:ilvl="0" w:tplc="C8A02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F4A03"/>
    <w:multiLevelType w:val="hybridMultilevel"/>
    <w:tmpl w:val="1492775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1"/>
  </w:num>
  <w:num w:numId="5">
    <w:abstractNumId w:val="1"/>
  </w:num>
  <w:num w:numId="6">
    <w:abstractNumId w:val="4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20"/>
  </w:num>
  <w:num w:numId="14">
    <w:abstractNumId w:val="19"/>
  </w:num>
  <w:num w:numId="15">
    <w:abstractNumId w:val="0"/>
  </w:num>
  <w:num w:numId="16">
    <w:abstractNumId w:val="5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D0"/>
    <w:rsid w:val="0000151D"/>
    <w:rsid w:val="00002081"/>
    <w:rsid w:val="00010373"/>
    <w:rsid w:val="00014D0D"/>
    <w:rsid w:val="00026341"/>
    <w:rsid w:val="00054053"/>
    <w:rsid w:val="000638AE"/>
    <w:rsid w:val="000A3615"/>
    <w:rsid w:val="000B75D5"/>
    <w:rsid w:val="000C62EB"/>
    <w:rsid w:val="0014408D"/>
    <w:rsid w:val="00165D64"/>
    <w:rsid w:val="0017555B"/>
    <w:rsid w:val="001779A8"/>
    <w:rsid w:val="00193EE4"/>
    <w:rsid w:val="002243F3"/>
    <w:rsid w:val="002305AD"/>
    <w:rsid w:val="00230F56"/>
    <w:rsid w:val="00234449"/>
    <w:rsid w:val="00243E98"/>
    <w:rsid w:val="00270C93"/>
    <w:rsid w:val="00297556"/>
    <w:rsid w:val="002C4F9B"/>
    <w:rsid w:val="002E0D1A"/>
    <w:rsid w:val="003401E7"/>
    <w:rsid w:val="00341B54"/>
    <w:rsid w:val="003710A4"/>
    <w:rsid w:val="00371343"/>
    <w:rsid w:val="003B2828"/>
    <w:rsid w:val="003D4692"/>
    <w:rsid w:val="003E4502"/>
    <w:rsid w:val="003F5D5D"/>
    <w:rsid w:val="00404A18"/>
    <w:rsid w:val="0040549D"/>
    <w:rsid w:val="00407BBC"/>
    <w:rsid w:val="00410006"/>
    <w:rsid w:val="004826D0"/>
    <w:rsid w:val="004941D1"/>
    <w:rsid w:val="004D7D89"/>
    <w:rsid w:val="004E103B"/>
    <w:rsid w:val="004F1191"/>
    <w:rsid w:val="004F4B47"/>
    <w:rsid w:val="00502551"/>
    <w:rsid w:val="00545850"/>
    <w:rsid w:val="005B721B"/>
    <w:rsid w:val="005D6C0D"/>
    <w:rsid w:val="006043E7"/>
    <w:rsid w:val="00626DF7"/>
    <w:rsid w:val="00657105"/>
    <w:rsid w:val="006771BF"/>
    <w:rsid w:val="006A5C37"/>
    <w:rsid w:val="006E04CB"/>
    <w:rsid w:val="0077240E"/>
    <w:rsid w:val="0077744D"/>
    <w:rsid w:val="00784528"/>
    <w:rsid w:val="007F505C"/>
    <w:rsid w:val="0083126B"/>
    <w:rsid w:val="0087124B"/>
    <w:rsid w:val="00872A43"/>
    <w:rsid w:val="00893AC9"/>
    <w:rsid w:val="008E0081"/>
    <w:rsid w:val="008F7E6C"/>
    <w:rsid w:val="009035F4"/>
    <w:rsid w:val="009154F9"/>
    <w:rsid w:val="00982346"/>
    <w:rsid w:val="00985BDE"/>
    <w:rsid w:val="009E73AD"/>
    <w:rsid w:val="00A16626"/>
    <w:rsid w:val="00A37C91"/>
    <w:rsid w:val="00A525A3"/>
    <w:rsid w:val="00A61817"/>
    <w:rsid w:val="00A6364B"/>
    <w:rsid w:val="00AB6A99"/>
    <w:rsid w:val="00AD6512"/>
    <w:rsid w:val="00B93A1F"/>
    <w:rsid w:val="00BB350C"/>
    <w:rsid w:val="00BB55D0"/>
    <w:rsid w:val="00C34CAB"/>
    <w:rsid w:val="00C57028"/>
    <w:rsid w:val="00C73B78"/>
    <w:rsid w:val="00C74619"/>
    <w:rsid w:val="00C8033A"/>
    <w:rsid w:val="00C85BD9"/>
    <w:rsid w:val="00CA502F"/>
    <w:rsid w:val="00CC0D31"/>
    <w:rsid w:val="00CC693D"/>
    <w:rsid w:val="00D240D9"/>
    <w:rsid w:val="00D63DE5"/>
    <w:rsid w:val="00D71B50"/>
    <w:rsid w:val="00D95328"/>
    <w:rsid w:val="00DB059D"/>
    <w:rsid w:val="00DC3680"/>
    <w:rsid w:val="00DE51CE"/>
    <w:rsid w:val="00E4631C"/>
    <w:rsid w:val="00E661E2"/>
    <w:rsid w:val="00E6779B"/>
    <w:rsid w:val="00E712C0"/>
    <w:rsid w:val="00EF1D31"/>
    <w:rsid w:val="00F26F24"/>
    <w:rsid w:val="00F50E81"/>
    <w:rsid w:val="00F61241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BEEA"/>
  <w15:docId w15:val="{1C40B586-A416-4D0C-B07D-8B89FCD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4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E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2016-06-03T14:04:00Z</cp:lastPrinted>
  <dcterms:created xsi:type="dcterms:W3CDTF">2017-03-14T08:16:00Z</dcterms:created>
  <dcterms:modified xsi:type="dcterms:W3CDTF">2017-03-14T08:16:00Z</dcterms:modified>
</cp:coreProperties>
</file>