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A6" w:rsidRPr="006212BB" w:rsidRDefault="00D504BA" w:rsidP="008B18AB">
      <w:pPr>
        <w:spacing w:before="0" w:after="200" w:line="252" w:lineRule="auto"/>
      </w:pPr>
      <w:r>
        <w:t xml:space="preserve">Les </w:t>
      </w:r>
      <w:r>
        <w:rPr>
          <w:b/>
          <w:bCs/>
        </w:rPr>
        <w:t>agences de distribution</w:t>
      </w:r>
      <w:r>
        <w:t xml:space="preserve"> reçoivent des vivres de l’organisme récipiendaire à distribuer aux bénéficiaires éligibles. Les agences de distribution peuvent être des ONG locales, des organisations communautaires, </w:t>
      </w:r>
      <w:r w:rsidR="00E154EB">
        <w:t>des centres pour les enfants de la</w:t>
      </w:r>
      <w:r>
        <w:t xml:space="preserve"> rue, des écoles ou des centres de santé responsables de la gestion des </w:t>
      </w:r>
      <w:r w:rsidR="00E154EB">
        <w:t>vivres du Gouvernement des Etats-Unis au sein du</w:t>
      </w:r>
      <w:r>
        <w:t xml:space="preserve"> réseau de distribution de l’organisme récipiendaire. Les agences de distribution ne sont pas des sous-récipiendaires à part entière (ou des agences </w:t>
      </w:r>
      <w:r w:rsidR="00E154EB">
        <w:t>récipiendaires</w:t>
      </w:r>
      <w:r>
        <w:t xml:space="preserve">) dans la mesure où elles ne mettent généralement pas en œuvre de façon indépendante les activités financées par l’organisme récipiendaire.   </w:t>
      </w:r>
    </w:p>
    <w:p w:rsidR="00881C9A" w:rsidRDefault="007E5DD9" w:rsidP="00F1136E">
      <w:pPr>
        <w:spacing w:before="0" w:line="252" w:lineRule="auto"/>
      </w:pPr>
      <w:r>
        <w:t xml:space="preserve">L’organisme récipiendaire reste l'ultime responsable de tous les vivres </w:t>
      </w:r>
      <w:r w:rsidR="00E154EB">
        <w:t>conformément aux</w:t>
      </w:r>
      <w:r>
        <w:t xml:space="preserve"> termes de la Régulation 11 et le plan opérationnel. Pour réduire la perte ou </w:t>
      </w:r>
      <w:r w:rsidR="00E154EB">
        <w:t>l’</w:t>
      </w:r>
      <w:r>
        <w:t xml:space="preserve">utilisation </w:t>
      </w:r>
      <w:r w:rsidR="00E154EB">
        <w:t xml:space="preserve">frauduleuse </w:t>
      </w:r>
      <w:r>
        <w:t xml:space="preserve">des vivres : </w:t>
      </w:r>
    </w:p>
    <w:tbl>
      <w:tblPr>
        <w:tblStyle w:val="TableGrid"/>
        <w:tblW w:w="0" w:type="auto"/>
        <w:tblLook w:val="04A0"/>
      </w:tblPr>
      <w:tblGrid>
        <w:gridCol w:w="648"/>
        <w:gridCol w:w="8595"/>
      </w:tblGrid>
      <w:tr w:rsidR="008B18AB" w:rsidRPr="00880F71" w:rsidTr="009D6B40">
        <w:tc>
          <w:tcPr>
            <w:tcW w:w="648" w:type="dxa"/>
            <w:tcBorders>
              <w:top w:val="nil"/>
              <w:left w:val="nil"/>
              <w:bottom w:val="nil"/>
              <w:right w:val="nil"/>
            </w:tcBorders>
          </w:tcPr>
          <w:p w:rsidR="008B18AB" w:rsidRPr="0069048D" w:rsidRDefault="008B18AB" w:rsidP="0069048D">
            <w:pPr>
              <w:spacing w:after="0"/>
              <w:jc w:val="center"/>
              <w:rPr>
                <w:sz w:val="28"/>
                <w:szCs w:val="28"/>
              </w:rPr>
            </w:pPr>
            <w:r>
              <w:rPr>
                <w:sz w:val="28"/>
                <w:szCs w:val="28"/>
              </w:rPr>
              <w:sym w:font="Webdings" w:char="F063"/>
            </w:r>
          </w:p>
        </w:tc>
        <w:tc>
          <w:tcPr>
            <w:tcW w:w="8595" w:type="dxa"/>
            <w:tcBorders>
              <w:top w:val="nil"/>
              <w:left w:val="nil"/>
              <w:bottom w:val="nil"/>
              <w:right w:val="nil"/>
            </w:tcBorders>
          </w:tcPr>
          <w:p w:rsidR="008B18AB" w:rsidRPr="00880F71" w:rsidRDefault="008B18AB" w:rsidP="00E154EB">
            <w:pPr>
              <w:spacing w:after="0"/>
            </w:pPr>
            <w:r>
              <w:t>Forme</w:t>
            </w:r>
            <w:r w:rsidR="00E154EB">
              <w:t>r</w:t>
            </w:r>
            <w:r>
              <w:t xml:space="preserve"> une équipe libre de tout conflit d'intérêts pour présélectionner et interviewer toutes les agences de distribution potentielles, conformément aux procédures normales.</w:t>
            </w:r>
          </w:p>
        </w:tc>
      </w:tr>
      <w:tr w:rsidR="005A0DA5" w:rsidRPr="00880F71" w:rsidTr="009D6B40">
        <w:tc>
          <w:tcPr>
            <w:tcW w:w="648" w:type="dxa"/>
            <w:tcBorders>
              <w:top w:val="nil"/>
              <w:left w:val="nil"/>
              <w:bottom w:val="nil"/>
              <w:right w:val="nil"/>
            </w:tcBorders>
          </w:tcPr>
          <w:p w:rsidR="005A0DA5" w:rsidRPr="0069048D" w:rsidRDefault="005A0DA5" w:rsidP="009D6B40">
            <w:pPr>
              <w:spacing w:after="0"/>
              <w:jc w:val="center"/>
              <w:rPr>
                <w:sz w:val="28"/>
                <w:szCs w:val="28"/>
              </w:rPr>
            </w:pPr>
            <w:r>
              <w:rPr>
                <w:sz w:val="28"/>
                <w:szCs w:val="28"/>
              </w:rPr>
              <w:sym w:font="Webdings" w:char="F063"/>
            </w:r>
          </w:p>
        </w:tc>
        <w:tc>
          <w:tcPr>
            <w:tcW w:w="8595" w:type="dxa"/>
            <w:tcBorders>
              <w:top w:val="nil"/>
              <w:left w:val="nil"/>
              <w:bottom w:val="nil"/>
              <w:right w:val="nil"/>
            </w:tcBorders>
          </w:tcPr>
          <w:p w:rsidR="005A0DA5" w:rsidRDefault="005A0DA5" w:rsidP="005A0DA5">
            <w:pPr>
              <w:spacing w:after="0"/>
              <w:rPr>
                <w:bCs/>
              </w:rPr>
            </w:pPr>
            <w:r>
              <w:t>Utiliser des critères clairs et préexistants pour les qualifications d'agence de distribution, tels que:</w:t>
            </w:r>
          </w:p>
          <w:p w:rsidR="005A0DA5" w:rsidRDefault="00E154EB" w:rsidP="00341EF9">
            <w:pPr>
              <w:pStyle w:val="ListParagraph"/>
              <w:numPr>
                <w:ilvl w:val="0"/>
                <w:numId w:val="25"/>
              </w:numPr>
              <w:spacing w:before="60" w:after="0"/>
              <w:ind w:left="360"/>
              <w:contextualSpacing w:val="0"/>
            </w:pPr>
            <w:r>
              <w:t>Les c</w:t>
            </w:r>
            <w:r w:rsidR="005A0DA5">
              <w:t>apacités (ressources matérielles et en personnel) pour stocker et manipuler les vivres (de préférence, expérience préalable dans le traitement des denrées alimentaires du gouvernement américain)</w:t>
            </w:r>
          </w:p>
          <w:p w:rsidR="005A0DA5" w:rsidRDefault="00E154EB" w:rsidP="00341EF9">
            <w:pPr>
              <w:pStyle w:val="ListParagraph"/>
              <w:numPr>
                <w:ilvl w:val="0"/>
                <w:numId w:val="25"/>
              </w:numPr>
              <w:spacing w:before="60" w:after="0"/>
              <w:ind w:left="360"/>
              <w:contextualSpacing w:val="0"/>
            </w:pPr>
            <w:r>
              <w:t>La c</w:t>
            </w:r>
            <w:r w:rsidR="00341EF9">
              <w:t>onformité aux réglementations et restrictions du gouvernement hôte</w:t>
            </w:r>
          </w:p>
          <w:p w:rsidR="00341EF9" w:rsidRDefault="00E154EB" w:rsidP="00341EF9">
            <w:pPr>
              <w:pStyle w:val="ListParagraph"/>
              <w:numPr>
                <w:ilvl w:val="0"/>
                <w:numId w:val="25"/>
              </w:numPr>
              <w:spacing w:before="60" w:after="0"/>
              <w:ind w:left="360"/>
              <w:contextualSpacing w:val="0"/>
            </w:pPr>
            <w:r>
              <w:t xml:space="preserve">Ne pas figurer </w:t>
            </w:r>
            <w:r w:rsidR="00341EF9">
              <w:t>sur aucune liste de personnes qui commettent, menacent de commettre ou soutiennent le terrorisme</w:t>
            </w:r>
          </w:p>
          <w:p w:rsidR="00341EF9" w:rsidRPr="00880F71" w:rsidRDefault="00E154EB" w:rsidP="00E154EB">
            <w:pPr>
              <w:pStyle w:val="ListParagraph"/>
              <w:numPr>
                <w:ilvl w:val="0"/>
                <w:numId w:val="25"/>
              </w:numPr>
              <w:spacing w:before="60" w:after="0"/>
              <w:ind w:left="360"/>
              <w:contextualSpacing w:val="0"/>
            </w:pPr>
            <w:r>
              <w:t xml:space="preserve">Ne pas être un </w:t>
            </w:r>
            <w:r w:rsidR="00341EF9">
              <w:t>militaire</w:t>
            </w:r>
          </w:p>
        </w:tc>
      </w:tr>
      <w:tr w:rsidR="005A0DA5" w:rsidRPr="00880F71" w:rsidTr="009D6B40">
        <w:tc>
          <w:tcPr>
            <w:tcW w:w="648" w:type="dxa"/>
            <w:tcBorders>
              <w:top w:val="nil"/>
              <w:left w:val="nil"/>
              <w:bottom w:val="nil"/>
              <w:right w:val="nil"/>
            </w:tcBorders>
          </w:tcPr>
          <w:p w:rsidR="005A0DA5" w:rsidRPr="0069048D" w:rsidRDefault="005A0DA5" w:rsidP="0069048D">
            <w:pPr>
              <w:spacing w:after="0"/>
              <w:jc w:val="center"/>
              <w:rPr>
                <w:sz w:val="28"/>
                <w:szCs w:val="28"/>
              </w:rPr>
            </w:pPr>
            <w:r>
              <w:rPr>
                <w:sz w:val="28"/>
                <w:szCs w:val="28"/>
              </w:rPr>
              <w:sym w:font="Webdings" w:char="F063"/>
            </w:r>
          </w:p>
        </w:tc>
        <w:tc>
          <w:tcPr>
            <w:tcW w:w="8595" w:type="dxa"/>
            <w:tcBorders>
              <w:top w:val="nil"/>
              <w:left w:val="nil"/>
              <w:bottom w:val="nil"/>
              <w:right w:val="nil"/>
            </w:tcBorders>
          </w:tcPr>
          <w:p w:rsidR="005A0DA5" w:rsidRPr="00880F71" w:rsidRDefault="005A0DA5" w:rsidP="0069048D">
            <w:pPr>
              <w:spacing w:after="0"/>
            </w:pPr>
            <w:r>
              <w:t>Former et superviser le personnel de l'agence de distribution (ou les bénévoles) pour s'assurer qu'ils suivent bien les procédures de stockage et de manutention et utilisent les vivres uniquement pour les fins énoncées dans l'accord.</w:t>
            </w:r>
          </w:p>
        </w:tc>
      </w:tr>
      <w:tr w:rsidR="005A0DA5" w:rsidRPr="00880F71" w:rsidTr="009D6B40">
        <w:tc>
          <w:tcPr>
            <w:tcW w:w="648" w:type="dxa"/>
            <w:tcBorders>
              <w:top w:val="nil"/>
              <w:left w:val="nil"/>
              <w:bottom w:val="nil"/>
              <w:right w:val="nil"/>
            </w:tcBorders>
          </w:tcPr>
          <w:p w:rsidR="005A0DA5" w:rsidRPr="0069048D" w:rsidRDefault="005A0DA5" w:rsidP="0069048D">
            <w:pPr>
              <w:spacing w:after="0"/>
              <w:jc w:val="center"/>
              <w:rPr>
                <w:sz w:val="28"/>
                <w:szCs w:val="28"/>
              </w:rPr>
            </w:pPr>
            <w:r>
              <w:rPr>
                <w:sz w:val="28"/>
                <w:szCs w:val="28"/>
              </w:rPr>
              <w:sym w:font="Webdings" w:char="F063"/>
            </w:r>
          </w:p>
        </w:tc>
        <w:tc>
          <w:tcPr>
            <w:tcW w:w="8595" w:type="dxa"/>
            <w:tcBorders>
              <w:top w:val="nil"/>
              <w:left w:val="nil"/>
              <w:bottom w:val="nil"/>
              <w:right w:val="nil"/>
            </w:tcBorders>
          </w:tcPr>
          <w:p w:rsidR="005A0DA5" w:rsidRPr="00880F71" w:rsidRDefault="005A0DA5" w:rsidP="00E154EB">
            <w:pPr>
              <w:spacing w:after="0"/>
            </w:pPr>
            <w:r>
              <w:t xml:space="preserve">Effectuer des visites régulières sur les sites des agences de distribution et inspecter les conditions de stockage des vivres, faire des inventaires physiques, examiner les registres et vérifier l'exactitude et la cohérence des données </w:t>
            </w:r>
            <w:r w:rsidR="00E154EB">
              <w:t>indiquées</w:t>
            </w:r>
            <w:r>
              <w:t xml:space="preserve"> dans les rapports.</w:t>
            </w:r>
          </w:p>
        </w:tc>
      </w:tr>
      <w:tr w:rsidR="005A0DA5" w:rsidRPr="00880F71" w:rsidTr="009D6B40">
        <w:tc>
          <w:tcPr>
            <w:tcW w:w="648" w:type="dxa"/>
            <w:tcBorders>
              <w:top w:val="nil"/>
              <w:left w:val="nil"/>
              <w:bottom w:val="nil"/>
              <w:right w:val="nil"/>
            </w:tcBorders>
          </w:tcPr>
          <w:p w:rsidR="005A0DA5" w:rsidRPr="0069048D" w:rsidRDefault="005A0DA5" w:rsidP="0069048D">
            <w:pPr>
              <w:spacing w:after="0"/>
              <w:jc w:val="center"/>
              <w:rPr>
                <w:sz w:val="28"/>
                <w:szCs w:val="28"/>
              </w:rPr>
            </w:pPr>
            <w:r>
              <w:rPr>
                <w:sz w:val="28"/>
                <w:szCs w:val="28"/>
              </w:rPr>
              <w:sym w:font="Webdings" w:char="F063"/>
            </w:r>
          </w:p>
        </w:tc>
        <w:tc>
          <w:tcPr>
            <w:tcW w:w="8595" w:type="dxa"/>
            <w:tcBorders>
              <w:top w:val="nil"/>
              <w:left w:val="nil"/>
              <w:bottom w:val="nil"/>
              <w:right w:val="nil"/>
            </w:tcBorders>
          </w:tcPr>
          <w:p w:rsidR="005A0DA5" w:rsidRPr="00880F71" w:rsidRDefault="005A0DA5" w:rsidP="00F1136E">
            <w:pPr>
              <w:spacing w:after="40"/>
            </w:pPr>
            <w:r>
              <w:t>Enquêter sur toutes les pertes de vivres par l'agence de distribution et les rapporter à l'USAID.</w:t>
            </w:r>
          </w:p>
        </w:tc>
      </w:tr>
    </w:tbl>
    <w:p w:rsidR="003851BB" w:rsidRDefault="005A0DA5" w:rsidP="00F1136E">
      <w:pPr>
        <w:spacing w:before="200" w:line="252" w:lineRule="auto"/>
      </w:pPr>
      <w:r>
        <w:t xml:space="preserve">L’organisme récipiendaire doit signer un </w:t>
      </w:r>
      <w:r w:rsidR="00E154EB">
        <w:t>protocole d’accord</w:t>
      </w:r>
      <w:r>
        <w:t xml:space="preserve"> avec chaque agence de distribution avant de lui transférer les vivres prévus pour la distribution. Il est important d'inclure dans le protocole d</w:t>
      </w:r>
      <w:r w:rsidR="00E154EB">
        <w:t>’accord</w:t>
      </w:r>
      <w:r>
        <w:t xml:space="preserve"> ce qui suit, conformément au plan opérationnel approuvé.</w:t>
      </w:r>
    </w:p>
    <w:tbl>
      <w:tblPr>
        <w:tblStyle w:val="TableGrid"/>
        <w:tblW w:w="0" w:type="auto"/>
        <w:tblLook w:val="04A0"/>
      </w:tblPr>
      <w:tblGrid>
        <w:gridCol w:w="648"/>
        <w:gridCol w:w="8595"/>
      </w:tblGrid>
      <w:tr w:rsidR="00D504BA" w:rsidTr="009A3A4D">
        <w:tc>
          <w:tcPr>
            <w:tcW w:w="9243" w:type="dxa"/>
            <w:gridSpan w:val="2"/>
            <w:tcBorders>
              <w:top w:val="nil"/>
              <w:left w:val="nil"/>
              <w:bottom w:val="nil"/>
              <w:right w:val="nil"/>
            </w:tcBorders>
          </w:tcPr>
          <w:p w:rsidR="00D504BA" w:rsidRPr="005C6456" w:rsidRDefault="00D504BA" w:rsidP="00EF1F88">
            <w:pPr>
              <w:spacing w:before="0" w:after="0"/>
              <w:rPr>
                <w:b/>
                <w:color w:val="237990"/>
                <w:sz w:val="24"/>
                <w:szCs w:val="24"/>
              </w:rPr>
            </w:pPr>
            <w:r>
              <w:rPr>
                <w:b/>
                <w:color w:val="237990"/>
                <w:sz w:val="24"/>
                <w:szCs w:val="24"/>
              </w:rPr>
              <w:t>Informations générales</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E154EB">
            <w:pPr>
              <w:spacing w:after="40"/>
            </w:pPr>
            <w:r>
              <w:t xml:space="preserve">Description de </w:t>
            </w:r>
            <w:r w:rsidR="00E154EB">
              <w:t xml:space="preserve">ou des utilisations </w:t>
            </w:r>
            <w:r>
              <w:t xml:space="preserve">approuvée des vivres </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F1136E">
            <w:pPr>
              <w:spacing w:after="40"/>
            </w:pPr>
            <w:r>
              <w:t>Nombre total de bénéficiaires</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F1136E">
            <w:pPr>
              <w:spacing w:after="40"/>
            </w:pPr>
            <w:r>
              <w:t>Critères d'éligibilité détaillés des bénéficiaires</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F1136E">
            <w:pPr>
              <w:spacing w:after="40"/>
            </w:pPr>
            <w:r>
              <w:t>Procédures de sélection et d'enregistrement des bénéficiaires</w:t>
            </w:r>
          </w:p>
        </w:tc>
      </w:tr>
      <w:tr w:rsidR="00E75C3A" w:rsidTr="005C5857">
        <w:tc>
          <w:tcPr>
            <w:tcW w:w="648" w:type="dxa"/>
            <w:tcBorders>
              <w:top w:val="nil"/>
              <w:left w:val="nil"/>
              <w:bottom w:val="nil"/>
              <w:right w:val="nil"/>
            </w:tcBorders>
          </w:tcPr>
          <w:p w:rsidR="00E75C3A" w:rsidRPr="005C6456" w:rsidRDefault="00E75C3A"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E75C3A" w:rsidRPr="00881C9A" w:rsidRDefault="00E75C3A" w:rsidP="00E154EB">
            <w:pPr>
              <w:spacing w:after="0"/>
            </w:pPr>
            <w:r>
              <w:t>Déclaration que : «Toute transaction avec</w:t>
            </w:r>
            <w:r w:rsidR="00E154EB">
              <w:t xml:space="preserve"> toute personne ou organisation associée au terrorisme</w:t>
            </w:r>
            <w:r>
              <w:t xml:space="preserve">, ou </w:t>
            </w:r>
            <w:r w:rsidR="00E154EB">
              <w:t xml:space="preserve">tout soutien ou fourniture </w:t>
            </w:r>
            <w:r>
              <w:t>de ressources à</w:t>
            </w:r>
            <w:r w:rsidR="00E154EB">
              <w:t xml:space="preserve"> celles-ci</w:t>
            </w:r>
            <w:r>
              <w:t xml:space="preserve"> est strictement interdite, conformément aux décrets exécutifs et lois des États-Unis»</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E154EB">
            <w:pPr>
              <w:spacing w:after="40"/>
              <w:rPr>
                <w:i/>
              </w:rPr>
            </w:pPr>
            <w:r>
              <w:t xml:space="preserve">Procédures </w:t>
            </w:r>
            <w:r w:rsidR="00E154EB">
              <w:t>de disqualification ou d’annulation de la participation</w:t>
            </w:r>
            <w:r>
              <w:t xml:space="preserve"> des bénéficiaires du programme</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lastRenderedPageBreak/>
              <w:sym w:font="Webdings" w:char="F063"/>
            </w:r>
          </w:p>
        </w:tc>
        <w:tc>
          <w:tcPr>
            <w:tcW w:w="8595" w:type="dxa"/>
            <w:tcBorders>
              <w:top w:val="nil"/>
              <w:left w:val="nil"/>
              <w:bottom w:val="nil"/>
              <w:right w:val="nil"/>
            </w:tcBorders>
          </w:tcPr>
          <w:p w:rsidR="00147962" w:rsidRPr="00881C9A" w:rsidRDefault="00147962" w:rsidP="00E154EB">
            <w:pPr>
              <w:spacing w:after="40"/>
            </w:pPr>
            <w:r>
              <w:t xml:space="preserve">Quantité totale des vivres et taille de la ration, par </w:t>
            </w:r>
            <w:r w:rsidR="00E154EB">
              <w:t>type de vivres</w:t>
            </w:r>
          </w:p>
        </w:tc>
      </w:tr>
      <w:tr w:rsidR="005C6456" w:rsidTr="005C5857">
        <w:tc>
          <w:tcPr>
            <w:tcW w:w="648" w:type="dxa"/>
            <w:tcBorders>
              <w:top w:val="nil"/>
              <w:left w:val="nil"/>
              <w:bottom w:val="nil"/>
              <w:right w:val="nil"/>
            </w:tcBorders>
          </w:tcPr>
          <w:p w:rsidR="005C6456" w:rsidRPr="005C6456" w:rsidRDefault="005C6456"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5C6456" w:rsidRPr="00881C9A" w:rsidRDefault="005C6456" w:rsidP="00F1136E">
            <w:pPr>
              <w:spacing w:after="40"/>
            </w:pPr>
            <w:r>
              <w:t>Période de distribution</w:t>
            </w:r>
          </w:p>
        </w:tc>
      </w:tr>
      <w:tr w:rsidR="00147962"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881C9A" w:rsidP="00F1136E">
            <w:pPr>
              <w:spacing w:after="40"/>
            </w:pPr>
            <w:r>
              <w:t>Type et fréquence des rapports sur les vivres</w:t>
            </w:r>
          </w:p>
        </w:tc>
      </w:tr>
      <w:tr w:rsidR="00147962" w:rsidRPr="005E432F"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881C9A" w:rsidP="00EF1F88">
            <w:pPr>
              <w:spacing w:after="0"/>
            </w:pPr>
            <w:r>
              <w:t>Dispositions pour le suivi du site par le personnel de l’organisme récipiendaire (inclure que son personnel a le droit de visiter et surveiller tous les sites où les vivres sont stockés ou distribués, et d’examiner tous les dossiers et documents)</w:t>
            </w:r>
          </w:p>
        </w:tc>
      </w:tr>
      <w:tr w:rsidR="00147962" w:rsidRPr="005E432F"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881C9A" w:rsidP="00E154EB">
            <w:pPr>
              <w:spacing w:after="40"/>
            </w:pPr>
            <w:r>
              <w:t xml:space="preserve">Procédures de traitement des dommages et pertes liés aux </w:t>
            </w:r>
            <w:r w:rsidR="00E154EB">
              <w:t>vivres</w:t>
            </w:r>
          </w:p>
        </w:tc>
      </w:tr>
      <w:tr w:rsidR="00147962" w:rsidRPr="005E432F"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F1136E">
            <w:pPr>
              <w:spacing w:after="40"/>
            </w:pPr>
            <w:r>
              <w:t>Noms de personne (s) en possession de clés pour les installations de stockage des vivres</w:t>
            </w:r>
          </w:p>
        </w:tc>
      </w:tr>
      <w:tr w:rsidR="00147962" w:rsidRPr="005E432F" w:rsidTr="005C5857">
        <w:tc>
          <w:tcPr>
            <w:tcW w:w="648" w:type="dxa"/>
            <w:tcBorders>
              <w:top w:val="nil"/>
              <w:left w:val="nil"/>
              <w:bottom w:val="nil"/>
              <w:right w:val="nil"/>
            </w:tcBorders>
          </w:tcPr>
          <w:p w:rsidR="00147962" w:rsidRPr="005C6456" w:rsidRDefault="00147962" w:rsidP="005C6456">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147962" w:rsidP="00F1136E">
            <w:pPr>
              <w:spacing w:after="40"/>
            </w:pPr>
            <w:r>
              <w:t>Des termes clairs pour la suspension ou la résiliation du contrat</w:t>
            </w:r>
          </w:p>
        </w:tc>
      </w:tr>
      <w:tr w:rsidR="00D504BA" w:rsidRPr="005E432F" w:rsidTr="00756693">
        <w:tc>
          <w:tcPr>
            <w:tcW w:w="9243" w:type="dxa"/>
            <w:gridSpan w:val="2"/>
            <w:tcBorders>
              <w:top w:val="nil"/>
              <w:left w:val="nil"/>
              <w:bottom w:val="nil"/>
              <w:right w:val="nil"/>
            </w:tcBorders>
          </w:tcPr>
          <w:p w:rsidR="00D504BA" w:rsidRPr="00951A68" w:rsidRDefault="00D504BA" w:rsidP="00EF1F88">
            <w:pPr>
              <w:spacing w:before="240" w:after="60"/>
              <w:rPr>
                <w:color w:val="237990"/>
                <w:sz w:val="24"/>
                <w:szCs w:val="24"/>
              </w:rPr>
            </w:pPr>
            <w:r>
              <w:rPr>
                <w:b/>
                <w:color w:val="237990"/>
                <w:sz w:val="24"/>
                <w:szCs w:val="24"/>
              </w:rPr>
              <w:t>Responsabilités des agences de distribution par rapport à la gestion des vivres</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2160E7" w:rsidP="00951A68">
            <w:pPr>
              <w:spacing w:after="0"/>
            </w:pPr>
            <w:r>
              <w:t>Mettre en place et utiliser les procédures de stockage et de manipulation appropriées pour protéger la qualité des vivres et contre l'infestation, les dommages et les pertes.</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2160E7" w:rsidRPr="00951A68" w:rsidRDefault="002160E7" w:rsidP="00951A68">
            <w:pPr>
              <w:spacing w:after="0"/>
            </w:pPr>
            <w:r>
              <w:t>Maintenir les documents et registres de toutes les transactions liées à la réception, au stockage et à l’utilisation des vivres, jusqu'à ce que les vivres soient délivrés pour la distribution/consommation.  Ces dossiers doivent :</w:t>
            </w:r>
          </w:p>
          <w:p w:rsidR="002160E7" w:rsidRPr="00881C9A" w:rsidRDefault="002160E7" w:rsidP="00951A68">
            <w:pPr>
              <w:pStyle w:val="ListParagraph"/>
              <w:numPr>
                <w:ilvl w:val="1"/>
                <w:numId w:val="24"/>
              </w:numPr>
              <w:spacing w:before="60" w:after="60"/>
              <w:ind w:left="288" w:hanging="288"/>
              <w:contextualSpacing w:val="0"/>
            </w:pPr>
            <w:r>
              <w:t>Être tenus correctement</w:t>
            </w:r>
          </w:p>
          <w:p w:rsidR="002160E7" w:rsidRPr="00881C9A" w:rsidRDefault="002160E7" w:rsidP="00951A68">
            <w:pPr>
              <w:pStyle w:val="ListParagraph"/>
              <w:numPr>
                <w:ilvl w:val="1"/>
                <w:numId w:val="24"/>
              </w:numPr>
              <w:spacing w:before="60" w:after="60"/>
              <w:ind w:left="288" w:hanging="288"/>
              <w:contextualSpacing w:val="0"/>
            </w:pPr>
            <w:r>
              <w:t>Refléter à tout moment les quantités en stock et les montants décaissés</w:t>
            </w:r>
          </w:p>
          <w:p w:rsidR="00147962" w:rsidRDefault="002160E7" w:rsidP="00951A68">
            <w:pPr>
              <w:pStyle w:val="ListParagraph"/>
              <w:numPr>
                <w:ilvl w:val="1"/>
                <w:numId w:val="24"/>
              </w:numPr>
              <w:spacing w:before="60" w:after="60"/>
              <w:ind w:left="288" w:hanging="288"/>
              <w:contextualSpacing w:val="0"/>
            </w:pPr>
            <w:r>
              <w:t>Répondre aux besoins des audits internes et externes</w:t>
            </w:r>
          </w:p>
          <w:p w:rsidR="00BD792F" w:rsidRPr="00881C9A" w:rsidRDefault="00E154EB" w:rsidP="00E154EB">
            <w:pPr>
              <w:pStyle w:val="ListParagraph"/>
              <w:numPr>
                <w:ilvl w:val="1"/>
                <w:numId w:val="24"/>
              </w:numPr>
              <w:spacing w:before="60" w:after="60"/>
              <w:ind w:left="288" w:hanging="288"/>
              <w:contextualSpacing w:val="0"/>
            </w:pPr>
            <w:r>
              <w:t xml:space="preserve">Comptabiliser totalement </w:t>
            </w:r>
            <w:r w:rsidR="00BD792F">
              <w:t>les vivres livrés à leur possession</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2160E7" w:rsidP="00EF1F88">
            <w:pPr>
              <w:spacing w:after="40"/>
            </w:pPr>
            <w:r>
              <w:t>Soumettre des rapports périodiques à l’organisme récipiendaire (préciser le type de rapport et la date d'échéance).</w:t>
            </w:r>
          </w:p>
        </w:tc>
      </w:tr>
      <w:tr w:rsidR="002160E7" w:rsidRPr="005E432F" w:rsidTr="00951A68">
        <w:tc>
          <w:tcPr>
            <w:tcW w:w="648" w:type="dxa"/>
            <w:tcBorders>
              <w:top w:val="nil"/>
              <w:left w:val="nil"/>
              <w:bottom w:val="nil"/>
              <w:right w:val="nil"/>
            </w:tcBorders>
          </w:tcPr>
          <w:p w:rsidR="002160E7" w:rsidRPr="00951A68" w:rsidRDefault="002160E7"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2160E7" w:rsidRPr="00881C9A" w:rsidRDefault="002160E7" w:rsidP="00F1136E">
            <w:pPr>
              <w:spacing w:after="40"/>
            </w:pPr>
            <w:r>
              <w:t>Maintenir des listes de bénéficiaires précises et à jour.</w:t>
            </w:r>
          </w:p>
        </w:tc>
      </w:tr>
      <w:tr w:rsidR="002160E7" w:rsidRPr="005E432F" w:rsidTr="00951A68">
        <w:tc>
          <w:tcPr>
            <w:tcW w:w="648" w:type="dxa"/>
            <w:tcBorders>
              <w:top w:val="nil"/>
              <w:left w:val="nil"/>
              <w:bottom w:val="nil"/>
              <w:right w:val="nil"/>
            </w:tcBorders>
          </w:tcPr>
          <w:p w:rsidR="002160E7" w:rsidRPr="00951A68" w:rsidRDefault="002160E7"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2160E7" w:rsidRPr="00881C9A" w:rsidRDefault="00E154EB" w:rsidP="00E154EB">
            <w:pPr>
              <w:spacing w:after="40"/>
            </w:pPr>
            <w:r>
              <w:t>Ne distribuer les vivres</w:t>
            </w:r>
            <w:r w:rsidR="002160E7">
              <w:t xml:space="preserve"> qu'aux bénéficiaires </w:t>
            </w:r>
            <w:r>
              <w:t>éligibles</w:t>
            </w:r>
            <w:r w:rsidR="002160E7">
              <w:t>.</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2160E7" w:rsidP="00F1136E">
            <w:pPr>
              <w:spacing w:after="40"/>
            </w:pPr>
            <w:r>
              <w:t>Suivre toute publicité nécessaire et se conformer aux exigences sur l'image de marque de l'emballage des vivres (étiquetage).</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2160E7" w:rsidP="00951A68">
            <w:pPr>
              <w:spacing w:after="0"/>
            </w:pPr>
            <w:r>
              <w:t>Respecter les termes et conditions de la Régulation 11, à moins que l'USAID et l’organisme récipiendaire ne conviennent qu'il ne serait ni approprié ni possible.</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047D8C" w:rsidRPr="00881C9A" w:rsidRDefault="002160E7" w:rsidP="00E154EB">
            <w:pPr>
              <w:spacing w:after="0"/>
            </w:pPr>
            <w:r>
              <w:t>Payer à l’organisme récipiendaire la valeur des vivres utilisés à des fins non autorisées par l'accord avec l’agence de distribution, ou qui s</w:t>
            </w:r>
            <w:r w:rsidR="00E154EB">
              <w:t>ont perdus ou endommagés suite au manquement</w:t>
            </w:r>
            <w:r>
              <w:t xml:space="preserve"> de l'agence de distribution </w:t>
            </w:r>
            <w:r w:rsidR="00E154EB">
              <w:t xml:space="preserve">à </w:t>
            </w:r>
            <w:r>
              <w:t xml:space="preserve">prendre soins des vivres </w:t>
            </w:r>
          </w:p>
        </w:tc>
      </w:tr>
      <w:tr w:rsidR="00147962" w:rsidRPr="005E432F" w:rsidTr="00951A68">
        <w:tc>
          <w:tcPr>
            <w:tcW w:w="648" w:type="dxa"/>
            <w:tcBorders>
              <w:top w:val="nil"/>
              <w:left w:val="nil"/>
              <w:bottom w:val="nil"/>
              <w:right w:val="nil"/>
            </w:tcBorders>
          </w:tcPr>
          <w:p w:rsidR="00147962" w:rsidRPr="00951A68" w:rsidRDefault="00147962"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147962" w:rsidRPr="00881C9A" w:rsidRDefault="002160E7" w:rsidP="00E154EB">
            <w:pPr>
              <w:spacing w:after="0"/>
            </w:pPr>
            <w:r>
              <w:t xml:space="preserve">Retourner ou </w:t>
            </w:r>
            <w:r w:rsidR="00E154EB">
              <w:t>éliminer convenablement les contenant</w:t>
            </w:r>
            <w:r>
              <w:t>s dans lesquels les vivres ont été reçus de l’organisme récipiendaire selon les instructions de ce dernier.</w:t>
            </w:r>
          </w:p>
        </w:tc>
      </w:tr>
      <w:tr w:rsidR="00951A68" w:rsidRPr="005E432F" w:rsidTr="00951A68">
        <w:tc>
          <w:tcPr>
            <w:tcW w:w="648" w:type="dxa"/>
            <w:tcBorders>
              <w:top w:val="nil"/>
              <w:left w:val="nil"/>
              <w:bottom w:val="nil"/>
              <w:right w:val="nil"/>
            </w:tcBorders>
          </w:tcPr>
          <w:p w:rsidR="00951A68" w:rsidRPr="00951A68" w:rsidRDefault="00951A68" w:rsidP="00951A68">
            <w:pPr>
              <w:spacing w:after="0"/>
              <w:rPr>
                <w:sz w:val="28"/>
                <w:szCs w:val="28"/>
              </w:rPr>
            </w:pPr>
            <w:r>
              <w:rPr>
                <w:sz w:val="28"/>
                <w:szCs w:val="28"/>
              </w:rPr>
              <w:sym w:font="Webdings" w:char="F063"/>
            </w:r>
          </w:p>
        </w:tc>
        <w:tc>
          <w:tcPr>
            <w:tcW w:w="8595" w:type="dxa"/>
            <w:tcBorders>
              <w:top w:val="nil"/>
              <w:left w:val="nil"/>
              <w:bottom w:val="nil"/>
              <w:right w:val="nil"/>
            </w:tcBorders>
          </w:tcPr>
          <w:p w:rsidR="00951A68" w:rsidRPr="00881C9A" w:rsidRDefault="00E154EB" w:rsidP="00F1136E">
            <w:pPr>
              <w:spacing w:after="40"/>
            </w:pPr>
            <w:r>
              <w:t>Conserver</w:t>
            </w:r>
            <w:bookmarkStart w:id="0" w:name="_GoBack"/>
            <w:bookmarkEnd w:id="0"/>
            <w:r w:rsidR="00951A68">
              <w:t xml:space="preserve"> les documents conformément aux instructions de l’organisme récipiendaire.</w:t>
            </w:r>
          </w:p>
        </w:tc>
      </w:tr>
    </w:tbl>
    <w:p w:rsidR="00285445" w:rsidRPr="007B6931" w:rsidRDefault="00285445" w:rsidP="00951A68">
      <w:pPr>
        <w:rPr>
          <w:sz w:val="20"/>
          <w:szCs w:val="20"/>
        </w:rPr>
      </w:pPr>
    </w:p>
    <w:sectPr w:rsidR="00285445" w:rsidRPr="007B6931" w:rsidSect="004D48B5">
      <w:headerReference w:type="default" r:id="rId7"/>
      <w:footerReference w:type="default" r:id="rId8"/>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0BEC" w:rsidRDefault="000A0BEC" w:rsidP="00243ADC">
      <w:pPr>
        <w:spacing w:before="0" w:after="0"/>
      </w:pPr>
      <w:r>
        <w:separator/>
      </w:r>
    </w:p>
  </w:endnote>
  <w:endnote w:type="continuationSeparator" w:id="0">
    <w:p w:rsidR="000A0BEC" w:rsidRDefault="000A0BEC" w:rsidP="00243AD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022707"/>
      <w:docPartObj>
        <w:docPartGallery w:val="Page Numbers (Bottom of Page)"/>
        <w:docPartUnique/>
      </w:docPartObj>
    </w:sdtPr>
    <w:sdtContent>
      <w:sdt>
        <w:sdtPr>
          <w:id w:val="565050477"/>
          <w:docPartObj>
            <w:docPartGallery w:val="Page Numbers (Top of Page)"/>
            <w:docPartUnique/>
          </w:docPartObj>
        </w:sdtPr>
        <w:sdtContent>
          <w:p w:rsidR="00243ADC" w:rsidRPr="008B18AB" w:rsidRDefault="00243ADC" w:rsidP="00243ADC">
            <w:pPr>
              <w:pStyle w:val="Footer"/>
              <w:jc w:val="center"/>
            </w:pPr>
            <w:r>
              <w:t xml:space="preserve">Page </w:t>
            </w:r>
            <w:r w:rsidR="0037228D" w:rsidRPr="008B18AB">
              <w:fldChar w:fldCharType="begin"/>
            </w:r>
            <w:r w:rsidRPr="008B18AB">
              <w:instrText xml:space="preserve"> PAGE </w:instrText>
            </w:r>
            <w:r w:rsidR="0037228D" w:rsidRPr="008B18AB">
              <w:fldChar w:fldCharType="separate"/>
            </w:r>
            <w:r w:rsidR="009F4984">
              <w:rPr>
                <w:noProof/>
              </w:rPr>
              <w:t>2</w:t>
            </w:r>
            <w:r w:rsidR="0037228D" w:rsidRPr="008B18AB">
              <w:fldChar w:fldCharType="end"/>
            </w:r>
            <w:r>
              <w:t xml:space="preserve"> / </w:t>
            </w:r>
            <w:r w:rsidR="0037228D" w:rsidRPr="008B18AB">
              <w:fldChar w:fldCharType="begin"/>
            </w:r>
            <w:r w:rsidRPr="008B18AB">
              <w:instrText xml:space="preserve"> NUMPAGES  </w:instrText>
            </w:r>
            <w:r w:rsidR="0037228D" w:rsidRPr="008B18AB">
              <w:fldChar w:fldCharType="separate"/>
            </w:r>
            <w:r w:rsidR="009F4984">
              <w:rPr>
                <w:noProof/>
              </w:rPr>
              <w:t>2</w:t>
            </w:r>
            <w:r w:rsidR="0037228D" w:rsidRPr="008B18AB">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0BEC" w:rsidRDefault="000A0BEC" w:rsidP="00243ADC">
      <w:pPr>
        <w:spacing w:before="0" w:after="0"/>
      </w:pPr>
      <w:r>
        <w:separator/>
      </w:r>
    </w:p>
  </w:footnote>
  <w:footnote w:type="continuationSeparator" w:id="0">
    <w:p w:rsidR="000A0BEC" w:rsidRDefault="000A0BEC" w:rsidP="00243AD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3ADC" w:rsidRPr="00243ADC" w:rsidRDefault="00D504BA" w:rsidP="00243ADC">
    <w:pPr>
      <w:pStyle w:val="Header"/>
      <w:jc w:val="center"/>
      <w:rPr>
        <w:sz w:val="28"/>
        <w:szCs w:val="28"/>
      </w:rPr>
    </w:pPr>
    <w:r>
      <w:rPr>
        <w:b/>
        <w:color w:val="237990"/>
        <w:sz w:val="28"/>
        <w:szCs w:val="28"/>
      </w:rPr>
      <w:t>LISTE DE CONTRÔLE pour le contr</w:t>
    </w:r>
    <w:r w:rsidR="009F4984">
      <w:rPr>
        <w:b/>
        <w:color w:val="237990"/>
        <w:sz w:val="28"/>
        <w:szCs w:val="28"/>
      </w:rPr>
      <w:t>at de l'Agence de distribution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8A8"/>
    <w:multiLevelType w:val="hybridMultilevel"/>
    <w:tmpl w:val="74BCC852"/>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9252E"/>
    <w:multiLevelType w:val="hybridMultilevel"/>
    <w:tmpl w:val="2F94BAA6"/>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B7608F"/>
    <w:multiLevelType w:val="hybridMultilevel"/>
    <w:tmpl w:val="2702FD3C"/>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F46F09"/>
    <w:multiLevelType w:val="hybridMultilevel"/>
    <w:tmpl w:val="089C84CE"/>
    <w:lvl w:ilvl="0" w:tplc="F7066DA6">
      <w:start w:val="1"/>
      <w:numFmt w:val="bullet"/>
      <w:lvlText w:val=""/>
      <w:lvlJc w:val="left"/>
      <w:pPr>
        <w:tabs>
          <w:tab w:val="num" w:pos="360"/>
        </w:tabs>
        <w:ind w:left="360" w:hanging="360"/>
      </w:pPr>
      <w:rPr>
        <w:rFonts w:ascii="Wingdings" w:hAnsi="Wingdings" w:hint="default"/>
        <w:b w:val="0"/>
        <w:i w:val="0"/>
        <w:color w:val="auto"/>
        <w:sz w:val="24"/>
        <w:szCs w:val="24"/>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
    <w:nsid w:val="1FD2684E"/>
    <w:multiLevelType w:val="hybridMultilevel"/>
    <w:tmpl w:val="6C20A364"/>
    <w:lvl w:ilvl="0" w:tplc="39888BDC">
      <w:numFmt w:val="bullet"/>
      <w:lvlText w:val="•"/>
      <w:lvlJc w:val="left"/>
      <w:pPr>
        <w:ind w:left="720" w:hanging="360"/>
      </w:pPr>
      <w:rPr>
        <w:rFonts w:ascii="Calibri" w:eastAsiaTheme="minorHAnsi" w:hAnsi="Calibri" w:cstheme="minorBidi" w:hint="default"/>
      </w:rPr>
    </w:lvl>
    <w:lvl w:ilvl="1" w:tplc="57EC91C6">
      <w:start w:val="1"/>
      <w:numFmt w:val="bullet"/>
      <w:lvlText w:val=""/>
      <w:lvlJc w:val="left"/>
      <w:pPr>
        <w:ind w:left="1440" w:hanging="360"/>
      </w:pPr>
      <w:rPr>
        <w:rFonts w:ascii="Symbol" w:hAnsi="Symbol" w:hint="default"/>
      </w:rPr>
    </w:lvl>
    <w:lvl w:ilvl="2" w:tplc="A4920BD6">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83A5B"/>
    <w:multiLevelType w:val="hybridMultilevel"/>
    <w:tmpl w:val="0414E13A"/>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1A00C7"/>
    <w:multiLevelType w:val="hybridMultilevel"/>
    <w:tmpl w:val="AEFA1D70"/>
    <w:lvl w:ilvl="0" w:tplc="39888BDC">
      <w:numFmt w:val="bullet"/>
      <w:lvlText w:val="•"/>
      <w:lvlJc w:val="left"/>
      <w:pPr>
        <w:ind w:left="720" w:hanging="360"/>
      </w:pPr>
      <w:rPr>
        <w:rFonts w:ascii="Calibri" w:eastAsiaTheme="minorHAnsi" w:hAnsi="Calibri" w:cstheme="minorBidi" w:hint="default"/>
      </w:rPr>
    </w:lvl>
    <w:lvl w:ilvl="1" w:tplc="BCE88C56">
      <w:start w:val="4"/>
      <w:numFmt w:val="bullet"/>
      <w:lvlText w:val="–"/>
      <w:lvlJc w:val="left"/>
      <w:pPr>
        <w:ind w:left="1440" w:hanging="360"/>
      </w:pPr>
      <w:rPr>
        <w:rFonts w:ascii="Calibri" w:eastAsiaTheme="minorHAnsi" w:hAnsi="Calibri" w:cstheme="minorBidi" w:hint="default"/>
      </w:rPr>
    </w:lvl>
    <w:lvl w:ilvl="2" w:tplc="A4920BD6">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055E53"/>
    <w:multiLevelType w:val="hybridMultilevel"/>
    <w:tmpl w:val="B0B49556"/>
    <w:lvl w:ilvl="0" w:tplc="6E4CBA02">
      <w:start w:val="1"/>
      <w:numFmt w:val="bullet"/>
      <w:lvlText w:val="•"/>
      <w:lvlJc w:val="left"/>
      <w:pPr>
        <w:tabs>
          <w:tab w:val="num" w:pos="1296"/>
        </w:tabs>
        <w:ind w:left="1296" w:hanging="288"/>
      </w:pPr>
      <w:rPr>
        <w:rFonts w:ascii="Times New Roman" w:hAnsi="Times New Roman" w:cs="Times New Roman" w:hint="default"/>
        <w:b w:val="0"/>
        <w:i w:val="0"/>
        <w:color w:val="auto"/>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4D46C0A"/>
    <w:multiLevelType w:val="hybridMultilevel"/>
    <w:tmpl w:val="1ED8B046"/>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A12AE6"/>
    <w:multiLevelType w:val="hybridMultilevel"/>
    <w:tmpl w:val="956852F2"/>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82DD5"/>
    <w:multiLevelType w:val="hybridMultilevel"/>
    <w:tmpl w:val="ED22E9F0"/>
    <w:lvl w:ilvl="0" w:tplc="F7066DA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E3F82"/>
    <w:multiLevelType w:val="hybridMultilevel"/>
    <w:tmpl w:val="2ECCC3A6"/>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A80584"/>
    <w:multiLevelType w:val="hybridMultilevel"/>
    <w:tmpl w:val="74100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AE60A1"/>
    <w:multiLevelType w:val="hybridMultilevel"/>
    <w:tmpl w:val="9E5E204C"/>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1A4FC9"/>
    <w:multiLevelType w:val="hybridMultilevel"/>
    <w:tmpl w:val="3496D6E8"/>
    <w:lvl w:ilvl="0" w:tplc="39888BDC">
      <w:numFmt w:val="bullet"/>
      <w:lvlText w:val="•"/>
      <w:lvlJc w:val="left"/>
      <w:pPr>
        <w:ind w:left="720" w:hanging="360"/>
      </w:pPr>
      <w:rPr>
        <w:rFonts w:ascii="Calibri" w:eastAsiaTheme="minorHAnsi" w:hAnsi="Calibri" w:cstheme="minorBidi" w:hint="default"/>
      </w:rPr>
    </w:lvl>
    <w:lvl w:ilvl="1" w:tplc="F7066DA6">
      <w:start w:val="1"/>
      <w:numFmt w:val="bullet"/>
      <w:lvlText w:val=""/>
      <w:lvlJc w:val="left"/>
      <w:pPr>
        <w:ind w:left="1440" w:hanging="360"/>
      </w:pPr>
      <w:rPr>
        <w:rFonts w:ascii="Wingdings" w:hAnsi="Wingdings" w:hint="default"/>
        <w:color w:val="auto"/>
      </w:rPr>
    </w:lvl>
    <w:lvl w:ilvl="2" w:tplc="A4920BD6">
      <w:start w:val="4"/>
      <w:numFmt w:val="bullet"/>
      <w:lvlText w:val=""/>
      <w:lvlJc w:val="left"/>
      <w:pPr>
        <w:ind w:left="2160" w:hanging="360"/>
      </w:pPr>
      <w:rPr>
        <w:rFonts w:ascii="Calibri" w:eastAsiaTheme="minorHAnsi"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E373C"/>
    <w:multiLevelType w:val="hybridMultilevel"/>
    <w:tmpl w:val="8BA4A92E"/>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092204"/>
    <w:multiLevelType w:val="hybridMultilevel"/>
    <w:tmpl w:val="9C8AFA5A"/>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CF3349"/>
    <w:multiLevelType w:val="hybridMultilevel"/>
    <w:tmpl w:val="22E02EE2"/>
    <w:lvl w:ilvl="0" w:tplc="3C9A560A">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9E0DE0"/>
    <w:multiLevelType w:val="hybridMultilevel"/>
    <w:tmpl w:val="17766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E4CE1"/>
    <w:multiLevelType w:val="hybridMultilevel"/>
    <w:tmpl w:val="405C97B4"/>
    <w:lvl w:ilvl="0" w:tplc="BEE052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8B44B66"/>
    <w:multiLevelType w:val="hybridMultilevel"/>
    <w:tmpl w:val="80BAC03E"/>
    <w:lvl w:ilvl="0" w:tplc="39888B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1A0AD4"/>
    <w:multiLevelType w:val="hybridMultilevel"/>
    <w:tmpl w:val="33C8E0E4"/>
    <w:lvl w:ilvl="0" w:tplc="1A384802">
      <w:start w:val="1"/>
      <w:numFmt w:val="bullet"/>
      <w:lvlText w:val="•"/>
      <w:lvlJc w:val="left"/>
      <w:pPr>
        <w:tabs>
          <w:tab w:val="num" w:pos="288"/>
        </w:tabs>
        <w:ind w:left="288" w:hanging="288"/>
      </w:pPr>
      <w:rPr>
        <w:rFonts w:ascii="Times New Roman" w:hAnsi="Times New Roman" w:cs="Times New Roman" w:hint="default"/>
        <w:b w:val="0"/>
        <w:i w:val="0"/>
        <w:color w:val="auto"/>
        <w:sz w:val="22"/>
        <w:szCs w:val="22"/>
        <w:u w:val="none"/>
      </w:rPr>
    </w:lvl>
    <w:lvl w:ilvl="1" w:tplc="08090003">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2">
    <w:nsid w:val="5CC12241"/>
    <w:multiLevelType w:val="hybridMultilevel"/>
    <w:tmpl w:val="B57AAD9A"/>
    <w:lvl w:ilvl="0" w:tplc="39888BD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F62063"/>
    <w:multiLevelType w:val="hybridMultilevel"/>
    <w:tmpl w:val="7DC09B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ED0679F"/>
    <w:multiLevelType w:val="hybridMultilevel"/>
    <w:tmpl w:val="0984674E"/>
    <w:lvl w:ilvl="0" w:tplc="DC44962A">
      <w:start w:val="1"/>
      <w:numFmt w:val="bullet"/>
      <w:lvlText w:val=""/>
      <w:lvlJc w:val="left"/>
      <w:pPr>
        <w:tabs>
          <w:tab w:val="num" w:pos="1080"/>
        </w:tabs>
        <w:ind w:left="1080" w:hanging="360"/>
      </w:pPr>
      <w:rPr>
        <w:rFonts w:ascii="Symbol" w:hAnsi="Symbol" w:hint="default"/>
        <w:b w:val="0"/>
        <w:i w:val="0"/>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6"/>
  </w:num>
  <w:num w:numId="3">
    <w:abstractNumId w:val="2"/>
  </w:num>
  <w:num w:numId="4">
    <w:abstractNumId w:val="9"/>
  </w:num>
  <w:num w:numId="5">
    <w:abstractNumId w:val="5"/>
  </w:num>
  <w:num w:numId="6">
    <w:abstractNumId w:val="8"/>
  </w:num>
  <w:num w:numId="7">
    <w:abstractNumId w:val="1"/>
  </w:num>
  <w:num w:numId="8">
    <w:abstractNumId w:val="11"/>
  </w:num>
  <w:num w:numId="9">
    <w:abstractNumId w:val="19"/>
  </w:num>
  <w:num w:numId="10">
    <w:abstractNumId w:val="0"/>
  </w:num>
  <w:num w:numId="11">
    <w:abstractNumId w:val="12"/>
  </w:num>
  <w:num w:numId="12">
    <w:abstractNumId w:val="17"/>
  </w:num>
  <w:num w:numId="13">
    <w:abstractNumId w:val="6"/>
  </w:num>
  <w:num w:numId="14">
    <w:abstractNumId w:val="15"/>
  </w:num>
  <w:num w:numId="15">
    <w:abstractNumId w:val="20"/>
  </w:num>
  <w:num w:numId="16">
    <w:abstractNumId w:val="22"/>
  </w:num>
  <w:num w:numId="17">
    <w:abstractNumId w:val="13"/>
  </w:num>
  <w:num w:numId="18">
    <w:abstractNumId w:val="24"/>
  </w:num>
  <w:num w:numId="19">
    <w:abstractNumId w:val="21"/>
  </w:num>
  <w:num w:numId="20">
    <w:abstractNumId w:val="7"/>
  </w:num>
  <w:num w:numId="21">
    <w:abstractNumId w:val="3"/>
  </w:num>
  <w:num w:numId="22">
    <w:abstractNumId w:val="23"/>
  </w:num>
  <w:num w:numId="23">
    <w:abstractNumId w:val="4"/>
  </w:num>
  <w:num w:numId="24">
    <w:abstractNumId w:val="14"/>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185C"/>
    <w:rsid w:val="00006F75"/>
    <w:rsid w:val="00010857"/>
    <w:rsid w:val="00012DC6"/>
    <w:rsid w:val="00013F26"/>
    <w:rsid w:val="00026341"/>
    <w:rsid w:val="00047D8C"/>
    <w:rsid w:val="00067235"/>
    <w:rsid w:val="000A0BEC"/>
    <w:rsid w:val="000A658B"/>
    <w:rsid w:val="000B75D5"/>
    <w:rsid w:val="000E7D3D"/>
    <w:rsid w:val="00147962"/>
    <w:rsid w:val="00157F18"/>
    <w:rsid w:val="00161AB3"/>
    <w:rsid w:val="00165D64"/>
    <w:rsid w:val="001A5936"/>
    <w:rsid w:val="001C0143"/>
    <w:rsid w:val="001C1B65"/>
    <w:rsid w:val="002060FF"/>
    <w:rsid w:val="002160E7"/>
    <w:rsid w:val="002243F3"/>
    <w:rsid w:val="002305AD"/>
    <w:rsid w:val="00230F56"/>
    <w:rsid w:val="00243ADC"/>
    <w:rsid w:val="00285445"/>
    <w:rsid w:val="002B6826"/>
    <w:rsid w:val="002D549B"/>
    <w:rsid w:val="002D6479"/>
    <w:rsid w:val="002E0D1A"/>
    <w:rsid w:val="002E372B"/>
    <w:rsid w:val="002E3B88"/>
    <w:rsid w:val="00304D38"/>
    <w:rsid w:val="00323678"/>
    <w:rsid w:val="00333A2D"/>
    <w:rsid w:val="00341B54"/>
    <w:rsid w:val="00341EF9"/>
    <w:rsid w:val="0035594D"/>
    <w:rsid w:val="00360219"/>
    <w:rsid w:val="00371343"/>
    <w:rsid w:val="0037228D"/>
    <w:rsid w:val="00374B78"/>
    <w:rsid w:val="003851BB"/>
    <w:rsid w:val="003A77AC"/>
    <w:rsid w:val="003C00BB"/>
    <w:rsid w:val="00404A18"/>
    <w:rsid w:val="00407BBC"/>
    <w:rsid w:val="00473D17"/>
    <w:rsid w:val="004811C2"/>
    <w:rsid w:val="0049560B"/>
    <w:rsid w:val="004D48B5"/>
    <w:rsid w:val="004E103B"/>
    <w:rsid w:val="004E2315"/>
    <w:rsid w:val="0052573D"/>
    <w:rsid w:val="005257D9"/>
    <w:rsid w:val="005620C9"/>
    <w:rsid w:val="0058080E"/>
    <w:rsid w:val="00596965"/>
    <w:rsid w:val="005A0DA5"/>
    <w:rsid w:val="005B721B"/>
    <w:rsid w:val="005C5857"/>
    <w:rsid w:val="005C6456"/>
    <w:rsid w:val="005D09A7"/>
    <w:rsid w:val="005F0B02"/>
    <w:rsid w:val="00600064"/>
    <w:rsid w:val="006052CF"/>
    <w:rsid w:val="00605685"/>
    <w:rsid w:val="0060665C"/>
    <w:rsid w:val="006212BB"/>
    <w:rsid w:val="00640D0B"/>
    <w:rsid w:val="00671AA7"/>
    <w:rsid w:val="00676220"/>
    <w:rsid w:val="0069048D"/>
    <w:rsid w:val="006A23FA"/>
    <w:rsid w:val="006F44B8"/>
    <w:rsid w:val="00745E75"/>
    <w:rsid w:val="00755EA4"/>
    <w:rsid w:val="007A0085"/>
    <w:rsid w:val="007B6931"/>
    <w:rsid w:val="007E5DD9"/>
    <w:rsid w:val="007F5AC1"/>
    <w:rsid w:val="008404C1"/>
    <w:rsid w:val="008722F6"/>
    <w:rsid w:val="00872F00"/>
    <w:rsid w:val="00880F71"/>
    <w:rsid w:val="00881C9A"/>
    <w:rsid w:val="0088359D"/>
    <w:rsid w:val="008B18AB"/>
    <w:rsid w:val="008D3906"/>
    <w:rsid w:val="008F4095"/>
    <w:rsid w:val="00912EF6"/>
    <w:rsid w:val="00951A68"/>
    <w:rsid w:val="0097516C"/>
    <w:rsid w:val="009D6478"/>
    <w:rsid w:val="009F4984"/>
    <w:rsid w:val="009F7DCE"/>
    <w:rsid w:val="00A04B77"/>
    <w:rsid w:val="00A16626"/>
    <w:rsid w:val="00A23F0E"/>
    <w:rsid w:val="00A56E35"/>
    <w:rsid w:val="00A61817"/>
    <w:rsid w:val="00AC4B1F"/>
    <w:rsid w:val="00AD2964"/>
    <w:rsid w:val="00AF7DCA"/>
    <w:rsid w:val="00B3700C"/>
    <w:rsid w:val="00B93692"/>
    <w:rsid w:val="00BC5ED0"/>
    <w:rsid w:val="00BD792F"/>
    <w:rsid w:val="00C25925"/>
    <w:rsid w:val="00C56D47"/>
    <w:rsid w:val="00C66AAC"/>
    <w:rsid w:val="00C670A6"/>
    <w:rsid w:val="00CA502F"/>
    <w:rsid w:val="00CC693D"/>
    <w:rsid w:val="00CE1D2E"/>
    <w:rsid w:val="00D2740F"/>
    <w:rsid w:val="00D504BA"/>
    <w:rsid w:val="00D64326"/>
    <w:rsid w:val="00DB1672"/>
    <w:rsid w:val="00E154EB"/>
    <w:rsid w:val="00E21B93"/>
    <w:rsid w:val="00E75C3A"/>
    <w:rsid w:val="00E7618E"/>
    <w:rsid w:val="00EA185C"/>
    <w:rsid w:val="00EA5289"/>
    <w:rsid w:val="00EF1F88"/>
    <w:rsid w:val="00F1136E"/>
    <w:rsid w:val="00F153E7"/>
    <w:rsid w:val="00F5153B"/>
    <w:rsid w:val="00FD26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5D64"/>
    <w:pPr>
      <w:spacing w:before="120" w:after="12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B721B"/>
  </w:style>
  <w:style w:type="character" w:customStyle="1" w:styleId="Style1Char">
    <w:name w:val="Style1 Char"/>
    <w:basedOn w:val="DefaultParagraphFont"/>
    <w:link w:val="Style1"/>
    <w:rsid w:val="005B721B"/>
  </w:style>
  <w:style w:type="paragraph" w:customStyle="1" w:styleId="Style10">
    <w:name w:val="Style 1"/>
    <w:basedOn w:val="Normal"/>
    <w:qFormat/>
    <w:rsid w:val="00341B54"/>
    <w:rPr>
      <w:rFonts w:ascii="Calibri" w:eastAsia="Calibri" w:hAnsi="Calibri" w:cs="Times New Roman"/>
    </w:rPr>
  </w:style>
  <w:style w:type="character" w:styleId="Hyperlink">
    <w:name w:val="Hyperlink"/>
    <w:basedOn w:val="DefaultParagraphFont"/>
    <w:uiPriority w:val="99"/>
    <w:unhideWhenUsed/>
    <w:rsid w:val="00161AB3"/>
    <w:rPr>
      <w:color w:val="0000FF" w:themeColor="hyperlink"/>
      <w:u w:val="single"/>
    </w:rPr>
  </w:style>
  <w:style w:type="paragraph" w:styleId="ListParagraph">
    <w:name w:val="List Paragraph"/>
    <w:basedOn w:val="Normal"/>
    <w:uiPriority w:val="34"/>
    <w:qFormat/>
    <w:rsid w:val="002060FF"/>
    <w:pPr>
      <w:ind w:left="720"/>
      <w:contextualSpacing/>
    </w:pPr>
  </w:style>
  <w:style w:type="paragraph" w:styleId="Header">
    <w:name w:val="header"/>
    <w:basedOn w:val="Normal"/>
    <w:link w:val="HeaderChar"/>
    <w:uiPriority w:val="99"/>
    <w:unhideWhenUsed/>
    <w:rsid w:val="00243ADC"/>
    <w:pPr>
      <w:tabs>
        <w:tab w:val="center" w:pos="4680"/>
        <w:tab w:val="right" w:pos="9360"/>
      </w:tabs>
      <w:spacing w:before="0" w:after="0"/>
    </w:pPr>
  </w:style>
  <w:style w:type="character" w:customStyle="1" w:styleId="HeaderChar">
    <w:name w:val="Header Char"/>
    <w:basedOn w:val="DefaultParagraphFont"/>
    <w:link w:val="Header"/>
    <w:uiPriority w:val="99"/>
    <w:rsid w:val="00243ADC"/>
  </w:style>
  <w:style w:type="paragraph" w:styleId="Footer">
    <w:name w:val="footer"/>
    <w:basedOn w:val="Normal"/>
    <w:link w:val="FooterChar"/>
    <w:uiPriority w:val="99"/>
    <w:unhideWhenUsed/>
    <w:rsid w:val="00243ADC"/>
    <w:pPr>
      <w:tabs>
        <w:tab w:val="center" w:pos="4680"/>
        <w:tab w:val="right" w:pos="9360"/>
      </w:tabs>
      <w:spacing w:before="0" w:after="0"/>
    </w:pPr>
  </w:style>
  <w:style w:type="character" w:customStyle="1" w:styleId="FooterChar">
    <w:name w:val="Footer Char"/>
    <w:basedOn w:val="DefaultParagraphFont"/>
    <w:link w:val="Footer"/>
    <w:uiPriority w:val="99"/>
    <w:rsid w:val="00243ADC"/>
  </w:style>
  <w:style w:type="paragraph" w:styleId="BalloonText">
    <w:name w:val="Balloon Text"/>
    <w:basedOn w:val="Normal"/>
    <w:link w:val="BalloonTextChar"/>
    <w:uiPriority w:val="99"/>
    <w:semiHidden/>
    <w:unhideWhenUsed/>
    <w:rsid w:val="00243AD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3ADC"/>
    <w:rPr>
      <w:rFonts w:ascii="Tahoma" w:hAnsi="Tahoma" w:cs="Tahoma"/>
      <w:sz w:val="16"/>
      <w:szCs w:val="16"/>
    </w:rPr>
  </w:style>
  <w:style w:type="character" w:styleId="FollowedHyperlink">
    <w:name w:val="FollowedHyperlink"/>
    <w:basedOn w:val="DefaultParagraphFont"/>
    <w:uiPriority w:val="99"/>
    <w:semiHidden/>
    <w:unhideWhenUsed/>
    <w:rsid w:val="004D48B5"/>
    <w:rPr>
      <w:color w:val="800080" w:themeColor="followedHyperlink"/>
      <w:u w:val="single"/>
    </w:rPr>
  </w:style>
  <w:style w:type="table" w:styleId="TableGrid">
    <w:name w:val="Table Grid"/>
    <w:basedOn w:val="TableNormal"/>
    <w:uiPriority w:val="59"/>
    <w:rsid w:val="007B6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 Vaughn Inc</Company>
  <LinksUpToDate>false</LinksUpToDate>
  <CharactersWithSpaces>5374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 Vaughn Inc</dc:creator>
  <cp:lastModifiedBy>va_vaughn</cp:lastModifiedBy>
  <cp:revision>3</cp:revision>
  <cp:lastPrinted>2016-06-03T20:02:00Z</cp:lastPrinted>
  <dcterms:created xsi:type="dcterms:W3CDTF">2018-01-25T02:03:00Z</dcterms:created>
  <dcterms:modified xsi:type="dcterms:W3CDTF">2018-02-05T16:42:00Z</dcterms:modified>
</cp:coreProperties>
</file>