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A6" w:rsidRPr="006212BB" w:rsidRDefault="00D504BA" w:rsidP="008B18AB">
      <w:pPr>
        <w:spacing w:before="0" w:after="200" w:line="252" w:lineRule="auto"/>
      </w:pPr>
      <w:r>
        <w:rPr>
          <w:b/>
        </w:rPr>
        <w:t xml:space="preserve">Distribution </w:t>
      </w:r>
      <w:r w:rsidR="007B6931" w:rsidRPr="007E5DD9">
        <w:rPr>
          <w:b/>
        </w:rPr>
        <w:t>agencies</w:t>
      </w:r>
      <w:r w:rsidR="007B6931" w:rsidRPr="0035594D">
        <w:t xml:space="preserve"> </w:t>
      </w:r>
      <w:r w:rsidR="002E372B" w:rsidRPr="0035594D">
        <w:t xml:space="preserve">receive commodities </w:t>
      </w:r>
      <w:r w:rsidR="002E372B">
        <w:t xml:space="preserve">from the Awardee </w:t>
      </w:r>
      <w:r w:rsidR="002E372B" w:rsidRPr="0035594D">
        <w:t>to distribute to eligible recipients.</w:t>
      </w:r>
      <w:r w:rsidR="002E372B">
        <w:t xml:space="preserve"> </w:t>
      </w:r>
      <w:r>
        <w:t>Distribution</w:t>
      </w:r>
      <w:r w:rsidR="002E372B" w:rsidRPr="0035594D">
        <w:t xml:space="preserve"> agencies</w:t>
      </w:r>
      <w:r w:rsidR="002E372B">
        <w:t xml:space="preserve"> can be </w:t>
      </w:r>
      <w:r w:rsidR="006212BB">
        <w:t xml:space="preserve">local </w:t>
      </w:r>
      <w:r w:rsidR="007B6931" w:rsidRPr="0035594D">
        <w:t xml:space="preserve">NGOs, </w:t>
      </w:r>
      <w:r w:rsidR="002E372B">
        <w:t xml:space="preserve">CBO’s, </w:t>
      </w:r>
      <w:r w:rsidR="007B6931" w:rsidRPr="0035594D">
        <w:t xml:space="preserve">centers for street children, schools, </w:t>
      </w:r>
      <w:r w:rsidR="002E372B">
        <w:t>or</w:t>
      </w:r>
      <w:r w:rsidR="007B6931" w:rsidRPr="0035594D">
        <w:t xml:space="preserve"> </w:t>
      </w:r>
      <w:r w:rsidR="002E372B">
        <w:t>health centers</w:t>
      </w:r>
      <w:r w:rsidR="007B6931" w:rsidRPr="0035594D">
        <w:t xml:space="preserve"> responsible to the Awardee for handling </w:t>
      </w:r>
      <w:r w:rsidR="002E372B">
        <w:t>USG food</w:t>
      </w:r>
      <w:r w:rsidR="007B6931" w:rsidRPr="0035594D">
        <w:t xml:space="preserve"> commodities within the Awardee's distribution system. </w:t>
      </w:r>
      <w:r w:rsidR="006212BB">
        <w:t xml:space="preserve">Distribution agencies are not full </w:t>
      </w:r>
      <w:r w:rsidR="00EF1F88">
        <w:t>S</w:t>
      </w:r>
      <w:r w:rsidR="006212BB">
        <w:t>ub-</w:t>
      </w:r>
      <w:r w:rsidR="00EF1F88">
        <w:t>A</w:t>
      </w:r>
      <w:r w:rsidR="006212BB">
        <w:t xml:space="preserve">wardees (or </w:t>
      </w:r>
      <w:r w:rsidR="006212BB">
        <w:rPr>
          <w:b/>
        </w:rPr>
        <w:t>recipient agencies</w:t>
      </w:r>
      <w:r w:rsidR="006212BB" w:rsidRPr="006212BB">
        <w:t xml:space="preserve">) in that they </w:t>
      </w:r>
      <w:r w:rsidR="003851BB">
        <w:t xml:space="preserve">generally </w:t>
      </w:r>
      <w:r w:rsidR="006212BB" w:rsidRPr="006212BB">
        <w:t xml:space="preserve">do not also </w:t>
      </w:r>
      <w:r w:rsidR="003851BB">
        <w:t xml:space="preserve">independently </w:t>
      </w:r>
      <w:r w:rsidR="006212BB" w:rsidRPr="006212BB">
        <w:t xml:space="preserve">implement </w:t>
      </w:r>
      <w:r w:rsidR="003851BB" w:rsidRPr="0035594D">
        <w:t>Awardee</w:t>
      </w:r>
      <w:r w:rsidR="00EF1F88">
        <w:t>-</w:t>
      </w:r>
      <w:r w:rsidR="006212BB" w:rsidRPr="006212BB">
        <w:t>funded activities</w:t>
      </w:r>
      <w:r w:rsidR="003851BB">
        <w:t>.</w:t>
      </w:r>
      <w:r w:rsidR="007B6931" w:rsidRPr="006212BB">
        <w:t xml:space="preserve"> </w:t>
      </w:r>
      <w:r w:rsidR="00C670A6" w:rsidRPr="006212BB">
        <w:t xml:space="preserve">  </w:t>
      </w:r>
    </w:p>
    <w:p w:rsidR="00881C9A" w:rsidRDefault="007E5DD9" w:rsidP="00F1136E">
      <w:pPr>
        <w:spacing w:before="0" w:line="252" w:lineRule="auto"/>
      </w:pPr>
      <w:r w:rsidRPr="007E5DD9">
        <w:t>T</w:t>
      </w:r>
      <w:r w:rsidR="002160E7" w:rsidRPr="007E5DD9">
        <w:t>he Awardee remain</w:t>
      </w:r>
      <w:r w:rsidRPr="007E5DD9">
        <w:t>s</w:t>
      </w:r>
      <w:r w:rsidR="002160E7" w:rsidRPr="007E5DD9">
        <w:t xml:space="preserve"> ultimately responsible for all commodities in accordance with the terms of Regulation 11 and the operational plan.</w:t>
      </w:r>
      <w:r w:rsidR="00EF1F88">
        <w:t xml:space="preserve"> </w:t>
      </w:r>
      <w:r w:rsidR="00013F26">
        <w:t>T</w:t>
      </w:r>
      <w:r w:rsidR="0069048D">
        <w:t xml:space="preserve">o reduce commodity loss or misuse: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595"/>
      </w:tblGrid>
      <w:tr w:rsidR="008B18AB" w:rsidRPr="00880F71" w:rsidTr="009D6B4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B18AB" w:rsidRPr="0069048D" w:rsidRDefault="008B18AB" w:rsidP="0069048D">
            <w:pPr>
              <w:spacing w:after="0"/>
              <w:jc w:val="center"/>
              <w:rPr>
                <w:sz w:val="28"/>
                <w:szCs w:val="28"/>
              </w:rPr>
            </w:pPr>
            <w:r w:rsidRPr="0069048D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8B18AB" w:rsidRPr="00880F71" w:rsidRDefault="008B18AB" w:rsidP="0069048D">
            <w:pPr>
              <w:spacing w:after="0"/>
            </w:pPr>
            <w:r w:rsidRPr="00880F71">
              <w:t xml:space="preserve">Form a team free from conflicts of interest to shortlist and interview all prospective </w:t>
            </w:r>
            <w:r>
              <w:t>distribution</w:t>
            </w:r>
            <w:r w:rsidRPr="00880F71">
              <w:t xml:space="preserve"> agencies, according to standard procedures</w:t>
            </w:r>
            <w:r w:rsidR="00EF1F88">
              <w:t>.</w:t>
            </w:r>
          </w:p>
        </w:tc>
      </w:tr>
      <w:tr w:rsidR="005A0DA5" w:rsidRPr="00880F71" w:rsidTr="009D6B4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A0DA5" w:rsidRPr="0069048D" w:rsidRDefault="005A0DA5" w:rsidP="009D6B40">
            <w:pPr>
              <w:spacing w:after="0"/>
              <w:jc w:val="center"/>
              <w:rPr>
                <w:sz w:val="28"/>
                <w:szCs w:val="28"/>
              </w:rPr>
            </w:pPr>
            <w:r w:rsidRPr="0069048D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A0DA5" w:rsidRDefault="005A0DA5" w:rsidP="005A0DA5">
            <w:pPr>
              <w:spacing w:after="0"/>
              <w:rPr>
                <w:bCs/>
              </w:rPr>
            </w:pPr>
            <w:r w:rsidRPr="00880F71">
              <w:rPr>
                <w:bCs/>
              </w:rPr>
              <w:t xml:space="preserve">Use clear, pre-existing criteria for </w:t>
            </w:r>
            <w:r>
              <w:t>distribution</w:t>
            </w:r>
            <w:r w:rsidRPr="00880F71">
              <w:t xml:space="preserve"> agency</w:t>
            </w:r>
            <w:r w:rsidRPr="00880F71">
              <w:rPr>
                <w:bCs/>
              </w:rPr>
              <w:t xml:space="preserve"> </w:t>
            </w:r>
            <w:r>
              <w:rPr>
                <w:bCs/>
              </w:rPr>
              <w:t>qualifications, such as:</w:t>
            </w:r>
          </w:p>
          <w:p w:rsidR="005A0DA5" w:rsidRDefault="005A0DA5" w:rsidP="00341EF9">
            <w:pPr>
              <w:pStyle w:val="ListParagraph"/>
              <w:numPr>
                <w:ilvl w:val="0"/>
                <w:numId w:val="25"/>
              </w:numPr>
              <w:spacing w:before="60" w:after="0"/>
              <w:ind w:left="360"/>
              <w:contextualSpacing w:val="0"/>
            </w:pPr>
            <w:r>
              <w:t>C</w:t>
            </w:r>
            <w:r w:rsidRPr="00880F71">
              <w:t>apacities (material and staff resources) to store and handle commodity</w:t>
            </w:r>
            <w:r>
              <w:t xml:space="preserve"> (</w:t>
            </w:r>
            <w:r w:rsidR="00EF1F88">
              <w:t>p</w:t>
            </w:r>
            <w:r w:rsidRPr="00880F71">
              <w:t xml:space="preserve">revious </w:t>
            </w:r>
            <w:r>
              <w:t>experience handling U.S. Government food commodities preferred)</w:t>
            </w:r>
          </w:p>
          <w:p w:rsidR="005A0DA5" w:rsidRDefault="00341EF9" w:rsidP="00341EF9">
            <w:pPr>
              <w:pStyle w:val="ListParagraph"/>
              <w:numPr>
                <w:ilvl w:val="0"/>
                <w:numId w:val="25"/>
              </w:numPr>
              <w:spacing w:before="60" w:after="0"/>
              <w:ind w:left="360"/>
              <w:contextualSpacing w:val="0"/>
            </w:pPr>
            <w:r>
              <w:t>Compliance with host government regulations and restrictions</w:t>
            </w:r>
          </w:p>
          <w:p w:rsidR="00341EF9" w:rsidRDefault="00341EF9" w:rsidP="00341EF9">
            <w:pPr>
              <w:pStyle w:val="ListParagraph"/>
              <w:numPr>
                <w:ilvl w:val="0"/>
                <w:numId w:val="25"/>
              </w:numPr>
              <w:spacing w:before="60" w:after="0"/>
              <w:ind w:left="360"/>
              <w:contextualSpacing w:val="0"/>
            </w:pPr>
            <w:r>
              <w:t>Not on any list of persons who commit, threaten to commit</w:t>
            </w:r>
            <w:r w:rsidR="005C6456">
              <w:t>,</w:t>
            </w:r>
            <w:r>
              <w:t xml:space="preserve"> or support terrorism</w:t>
            </w:r>
          </w:p>
          <w:p w:rsidR="00341EF9" w:rsidRPr="00880F71" w:rsidRDefault="00341EF9" w:rsidP="00341EF9">
            <w:pPr>
              <w:pStyle w:val="ListParagraph"/>
              <w:numPr>
                <w:ilvl w:val="0"/>
                <w:numId w:val="25"/>
              </w:numPr>
              <w:spacing w:before="60" w:after="0"/>
              <w:ind w:left="360"/>
              <w:contextualSpacing w:val="0"/>
            </w:pPr>
            <w:r>
              <w:t>Non-military</w:t>
            </w:r>
          </w:p>
        </w:tc>
      </w:tr>
      <w:tr w:rsidR="005A0DA5" w:rsidRPr="00880F71" w:rsidTr="009D6B4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A0DA5" w:rsidRPr="0069048D" w:rsidRDefault="005A0DA5" w:rsidP="0069048D">
            <w:pPr>
              <w:spacing w:after="0"/>
              <w:jc w:val="center"/>
              <w:rPr>
                <w:sz w:val="28"/>
                <w:szCs w:val="28"/>
              </w:rPr>
            </w:pPr>
            <w:r w:rsidRPr="0069048D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A0DA5" w:rsidRPr="00880F71" w:rsidRDefault="005A0DA5" w:rsidP="0069048D">
            <w:pPr>
              <w:spacing w:after="0"/>
            </w:pPr>
            <w:r>
              <w:t>Train and s</w:t>
            </w:r>
            <w:r w:rsidRPr="00880F71">
              <w:t xml:space="preserve">upervise </w:t>
            </w:r>
            <w:r>
              <w:t>distribution</w:t>
            </w:r>
            <w:r w:rsidRPr="00880F71">
              <w:t xml:space="preserve"> agency </w:t>
            </w:r>
            <w:r>
              <w:t>staff (or volunteers)</w:t>
            </w:r>
            <w:r w:rsidRPr="00880F71">
              <w:t xml:space="preserve"> to ensure that they follow adequate storage and handling procedures</w:t>
            </w:r>
            <w:r w:rsidR="00EF1F88">
              <w:t>,</w:t>
            </w:r>
            <w:r w:rsidRPr="00880F71">
              <w:t xml:space="preserve"> and use commodities only for the purposes stated in the agreement</w:t>
            </w:r>
            <w:r w:rsidR="00EF1F88">
              <w:t>.</w:t>
            </w:r>
          </w:p>
        </w:tc>
      </w:tr>
      <w:tr w:rsidR="005A0DA5" w:rsidRPr="00880F71" w:rsidTr="009D6B4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A0DA5" w:rsidRPr="0069048D" w:rsidRDefault="005A0DA5" w:rsidP="0069048D">
            <w:pPr>
              <w:spacing w:after="0"/>
              <w:jc w:val="center"/>
              <w:rPr>
                <w:sz w:val="28"/>
                <w:szCs w:val="28"/>
              </w:rPr>
            </w:pPr>
            <w:r w:rsidRPr="0069048D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A0DA5" w:rsidRPr="00880F71" w:rsidRDefault="005A0DA5" w:rsidP="005A0DA5">
            <w:pPr>
              <w:spacing w:after="0"/>
            </w:pPr>
            <w:r w:rsidRPr="00880F71">
              <w:t xml:space="preserve">Conduct regular visits </w:t>
            </w:r>
            <w:r>
              <w:t xml:space="preserve">to distribution agencies’ sites and inspect commodity storage conditions, make physical inventories, </w:t>
            </w:r>
            <w:r w:rsidRPr="00880F71">
              <w:t>review the records</w:t>
            </w:r>
            <w:r>
              <w:t>,</w:t>
            </w:r>
            <w:r w:rsidRPr="00880F71">
              <w:t xml:space="preserve"> and verify the accuracy and consistency of the data included in reports</w:t>
            </w:r>
            <w:r w:rsidR="00EF1F88">
              <w:t>.</w:t>
            </w:r>
          </w:p>
        </w:tc>
      </w:tr>
      <w:tr w:rsidR="005A0DA5" w:rsidRPr="00880F71" w:rsidTr="009D6B4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A0DA5" w:rsidRPr="0069048D" w:rsidRDefault="005A0DA5" w:rsidP="0069048D">
            <w:pPr>
              <w:spacing w:after="0"/>
              <w:jc w:val="center"/>
              <w:rPr>
                <w:sz w:val="28"/>
                <w:szCs w:val="28"/>
              </w:rPr>
            </w:pPr>
            <w:r w:rsidRPr="0069048D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A0DA5" w:rsidRPr="00880F71" w:rsidRDefault="005A0DA5" w:rsidP="00F1136E">
            <w:pPr>
              <w:spacing w:after="40"/>
            </w:pPr>
            <w:r w:rsidRPr="00880F71">
              <w:t xml:space="preserve">Investigate all commodity losses by </w:t>
            </w:r>
            <w:r>
              <w:t>distribution</w:t>
            </w:r>
            <w:r w:rsidRPr="00880F71">
              <w:t xml:space="preserve"> agencies and report them to USAID</w:t>
            </w:r>
            <w:r w:rsidR="00EF1F88">
              <w:t>.</w:t>
            </w:r>
          </w:p>
        </w:tc>
      </w:tr>
    </w:tbl>
    <w:p w:rsidR="003851BB" w:rsidRDefault="005A0DA5" w:rsidP="00F1136E">
      <w:pPr>
        <w:spacing w:before="200" w:line="252" w:lineRule="auto"/>
      </w:pPr>
      <w:r>
        <w:t>T</w:t>
      </w:r>
      <w:r w:rsidR="003851BB">
        <w:t>he Awardee must s</w:t>
      </w:r>
      <w:r w:rsidR="003851BB" w:rsidRPr="00880F71">
        <w:t xml:space="preserve">ign a written agreement </w:t>
      </w:r>
      <w:r w:rsidR="003851BB">
        <w:t xml:space="preserve">(MOU) </w:t>
      </w:r>
      <w:r w:rsidR="003851BB" w:rsidRPr="00880F71">
        <w:t xml:space="preserve">with </w:t>
      </w:r>
      <w:r w:rsidR="003851BB">
        <w:t>each</w:t>
      </w:r>
      <w:r w:rsidR="003851BB" w:rsidRPr="00880F71">
        <w:t xml:space="preserve"> </w:t>
      </w:r>
      <w:r w:rsidR="003851BB">
        <w:t>distribution</w:t>
      </w:r>
      <w:r w:rsidR="003851BB" w:rsidRPr="00880F71">
        <w:t xml:space="preserve"> agency prior to the transfer of commodities to the </w:t>
      </w:r>
      <w:r w:rsidR="003851BB">
        <w:t>distribution</w:t>
      </w:r>
      <w:r w:rsidR="003851BB" w:rsidRPr="00880F71">
        <w:t xml:space="preserve"> agency for distribution.</w:t>
      </w:r>
      <w:r w:rsidR="00EF1F88">
        <w:t xml:space="preserve"> </w:t>
      </w:r>
      <w:r w:rsidR="003851BB">
        <w:t xml:space="preserve">It is important to include </w:t>
      </w:r>
      <w:r>
        <w:t xml:space="preserve">in the MOU </w:t>
      </w:r>
      <w:r w:rsidR="003851BB">
        <w:t xml:space="preserve">the following, </w:t>
      </w:r>
      <w:r w:rsidR="003851BB" w:rsidRPr="00671AA7">
        <w:t>consistent with the approved operational plan</w:t>
      </w:r>
      <w:r w:rsidR="003851B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595"/>
      </w:tblGrid>
      <w:tr w:rsidR="00D504BA" w:rsidTr="009A3A4D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4BA" w:rsidRPr="005C6456" w:rsidRDefault="00D504BA" w:rsidP="00EF1F88">
            <w:pPr>
              <w:spacing w:before="0" w:after="0"/>
              <w:rPr>
                <w:b/>
                <w:color w:val="237990"/>
                <w:sz w:val="24"/>
                <w:szCs w:val="24"/>
              </w:rPr>
            </w:pPr>
            <w:r w:rsidRPr="005C6456">
              <w:rPr>
                <w:b/>
                <w:color w:val="237990"/>
                <w:sz w:val="24"/>
                <w:szCs w:val="24"/>
              </w:rPr>
              <w:t>General Information</w:t>
            </w:r>
          </w:p>
        </w:tc>
      </w:tr>
      <w:tr w:rsidR="00147962" w:rsidTr="005C585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5C6456" w:rsidRDefault="00147962" w:rsidP="005C6456">
            <w:pPr>
              <w:spacing w:after="0"/>
              <w:rPr>
                <w:sz w:val="28"/>
                <w:szCs w:val="28"/>
              </w:rPr>
            </w:pPr>
            <w:r w:rsidRPr="005C645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881C9A" w:rsidRDefault="00147962" w:rsidP="00F1136E">
            <w:pPr>
              <w:spacing w:after="40"/>
            </w:pPr>
            <w:r w:rsidRPr="00881C9A">
              <w:t xml:space="preserve">Description of the approved </w:t>
            </w:r>
            <w:r w:rsidRPr="00F1136E">
              <w:rPr>
                <w:b/>
              </w:rPr>
              <w:t>use(s)</w:t>
            </w:r>
            <w:r w:rsidRPr="00881C9A">
              <w:t xml:space="preserve"> of commodities</w:t>
            </w:r>
          </w:p>
        </w:tc>
      </w:tr>
      <w:tr w:rsidR="00147962" w:rsidTr="005C585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5C6456" w:rsidRDefault="00147962" w:rsidP="005C6456">
            <w:pPr>
              <w:spacing w:after="0"/>
              <w:rPr>
                <w:sz w:val="28"/>
                <w:szCs w:val="28"/>
              </w:rPr>
            </w:pPr>
            <w:r w:rsidRPr="005C645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881C9A" w:rsidRDefault="00147962" w:rsidP="00F1136E">
            <w:pPr>
              <w:spacing w:after="40"/>
            </w:pPr>
            <w:r w:rsidRPr="00881C9A">
              <w:t>Total number of recipients</w:t>
            </w:r>
          </w:p>
        </w:tc>
      </w:tr>
      <w:tr w:rsidR="00147962" w:rsidTr="005C585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5C6456" w:rsidRDefault="00147962" w:rsidP="005C6456">
            <w:pPr>
              <w:spacing w:after="0"/>
              <w:rPr>
                <w:sz w:val="28"/>
                <w:szCs w:val="28"/>
              </w:rPr>
            </w:pPr>
            <w:r w:rsidRPr="005C645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881C9A" w:rsidRDefault="00147962" w:rsidP="00F1136E">
            <w:pPr>
              <w:spacing w:after="40"/>
            </w:pPr>
            <w:r w:rsidRPr="00881C9A">
              <w:t xml:space="preserve">Detailed </w:t>
            </w:r>
            <w:r w:rsidR="005C6456">
              <w:t xml:space="preserve">recipient </w:t>
            </w:r>
            <w:r w:rsidRPr="00881C9A">
              <w:t>eligibility criteria</w:t>
            </w:r>
          </w:p>
        </w:tc>
      </w:tr>
      <w:tr w:rsidR="00147962" w:rsidTr="005C585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5C6456" w:rsidRDefault="00147962" w:rsidP="005C6456">
            <w:pPr>
              <w:spacing w:after="0"/>
              <w:rPr>
                <w:sz w:val="28"/>
                <w:szCs w:val="28"/>
              </w:rPr>
            </w:pPr>
            <w:r w:rsidRPr="005C645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881C9A" w:rsidRDefault="00147962" w:rsidP="00F1136E">
            <w:pPr>
              <w:spacing w:after="40"/>
            </w:pPr>
            <w:r w:rsidRPr="00881C9A">
              <w:t>Procedures for selecting and registering recipients</w:t>
            </w:r>
          </w:p>
        </w:tc>
      </w:tr>
      <w:tr w:rsidR="00E75C3A" w:rsidTr="005C585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75C3A" w:rsidRPr="005C6456" w:rsidRDefault="00E75C3A" w:rsidP="005C6456">
            <w:pPr>
              <w:spacing w:after="0"/>
              <w:rPr>
                <w:sz w:val="28"/>
                <w:szCs w:val="28"/>
              </w:rPr>
            </w:pPr>
            <w:r w:rsidRPr="005C645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E75C3A" w:rsidRPr="00881C9A" w:rsidRDefault="00E75C3A" w:rsidP="00EF1F88">
            <w:pPr>
              <w:spacing w:after="0"/>
            </w:pPr>
            <w:r>
              <w:t xml:space="preserve">Statement that: </w:t>
            </w:r>
            <w:r w:rsidR="00EF1F88">
              <w:t>“a</w:t>
            </w:r>
            <w:r>
              <w:t>ny transactions with, or provision of support or resources to, any individual or organization associated with terrorism is strictly prohibited, per U.S. Executive Orders and laws</w:t>
            </w:r>
            <w:r w:rsidR="00EF1F88">
              <w:t>”</w:t>
            </w:r>
          </w:p>
        </w:tc>
      </w:tr>
      <w:tr w:rsidR="00147962" w:rsidTr="005C585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5C6456" w:rsidRDefault="00147962" w:rsidP="005C6456">
            <w:pPr>
              <w:spacing w:after="0"/>
              <w:rPr>
                <w:sz w:val="28"/>
                <w:szCs w:val="28"/>
              </w:rPr>
            </w:pPr>
            <w:r w:rsidRPr="005C645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881C9A" w:rsidRDefault="00147962" w:rsidP="00F1136E">
            <w:pPr>
              <w:spacing w:after="40"/>
              <w:rPr>
                <w:i/>
              </w:rPr>
            </w:pPr>
            <w:r w:rsidRPr="00881C9A">
              <w:t>Procedures for graduating or terminating recipients from program</w:t>
            </w:r>
          </w:p>
        </w:tc>
      </w:tr>
      <w:tr w:rsidR="00147962" w:rsidTr="005C585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5C6456" w:rsidRDefault="00147962" w:rsidP="005C6456">
            <w:pPr>
              <w:spacing w:after="0"/>
              <w:rPr>
                <w:sz w:val="28"/>
                <w:szCs w:val="28"/>
              </w:rPr>
            </w:pPr>
            <w:r w:rsidRPr="005C645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881C9A" w:rsidRDefault="00147962" w:rsidP="00F1136E">
            <w:pPr>
              <w:spacing w:after="40"/>
            </w:pPr>
            <w:r w:rsidRPr="00881C9A">
              <w:t>Total amount of commodities and size of ration, by commodity</w:t>
            </w:r>
          </w:p>
        </w:tc>
      </w:tr>
      <w:tr w:rsidR="005C6456" w:rsidTr="005C585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C6456" w:rsidRPr="005C6456" w:rsidRDefault="005C6456" w:rsidP="005C6456">
            <w:pPr>
              <w:spacing w:after="0"/>
              <w:rPr>
                <w:sz w:val="28"/>
                <w:szCs w:val="28"/>
              </w:rPr>
            </w:pPr>
            <w:r w:rsidRPr="005C645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5C6456" w:rsidRPr="00881C9A" w:rsidRDefault="005C6456" w:rsidP="00F1136E">
            <w:pPr>
              <w:spacing w:after="40"/>
            </w:pPr>
            <w:r>
              <w:t>Period of distribution</w:t>
            </w:r>
          </w:p>
        </w:tc>
      </w:tr>
      <w:tr w:rsidR="00147962" w:rsidTr="005C585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5C6456" w:rsidRDefault="00147962" w:rsidP="005C6456">
            <w:pPr>
              <w:spacing w:after="0"/>
              <w:rPr>
                <w:sz w:val="28"/>
                <w:szCs w:val="28"/>
              </w:rPr>
            </w:pPr>
            <w:r w:rsidRPr="005C645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881C9A" w:rsidRDefault="00881C9A" w:rsidP="00F1136E">
            <w:pPr>
              <w:spacing w:after="40"/>
            </w:pPr>
            <w:r w:rsidRPr="00881C9A">
              <w:t xml:space="preserve">Type and frequency of </w:t>
            </w:r>
            <w:r w:rsidR="00013F26">
              <w:t xml:space="preserve">commodity </w:t>
            </w:r>
            <w:r w:rsidRPr="00881C9A">
              <w:t>reports</w:t>
            </w:r>
          </w:p>
        </w:tc>
      </w:tr>
      <w:tr w:rsidR="00147962" w:rsidRPr="005E432F" w:rsidTr="005C585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5C6456" w:rsidRDefault="00147962" w:rsidP="005C6456">
            <w:pPr>
              <w:spacing w:after="0"/>
              <w:rPr>
                <w:sz w:val="28"/>
                <w:szCs w:val="28"/>
              </w:rPr>
            </w:pPr>
            <w:r w:rsidRPr="005C645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881C9A" w:rsidRDefault="00881C9A" w:rsidP="00EF1F88">
            <w:pPr>
              <w:spacing w:after="0"/>
            </w:pPr>
            <w:r w:rsidRPr="00881C9A">
              <w:t>Provisions for site monitoring by Awardee staff (to include the right of Awardee staff to visit and monitor all sites where commodity is stored or distributed</w:t>
            </w:r>
            <w:r w:rsidR="00EF1F88">
              <w:t>,</w:t>
            </w:r>
            <w:r w:rsidRPr="00881C9A">
              <w:t xml:space="preserve"> and examine all records and documents)</w:t>
            </w:r>
          </w:p>
        </w:tc>
      </w:tr>
      <w:tr w:rsidR="00147962" w:rsidRPr="005E432F" w:rsidTr="005C585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5C6456" w:rsidRDefault="00147962" w:rsidP="005C6456">
            <w:pPr>
              <w:spacing w:after="0"/>
              <w:rPr>
                <w:sz w:val="28"/>
                <w:szCs w:val="28"/>
              </w:rPr>
            </w:pPr>
            <w:r w:rsidRPr="005C6456">
              <w:rPr>
                <w:sz w:val="28"/>
                <w:szCs w:val="28"/>
              </w:rPr>
              <w:lastRenderedPageBreak/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881C9A" w:rsidRDefault="00881C9A" w:rsidP="00F1136E">
            <w:pPr>
              <w:spacing w:after="40"/>
            </w:pPr>
            <w:r w:rsidRPr="00881C9A">
              <w:t>Procedures for handling commodity damages and losses</w:t>
            </w:r>
          </w:p>
        </w:tc>
      </w:tr>
      <w:tr w:rsidR="00147962" w:rsidRPr="005E432F" w:rsidTr="005C585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5C6456" w:rsidRDefault="00147962" w:rsidP="005C6456">
            <w:pPr>
              <w:spacing w:after="0"/>
              <w:rPr>
                <w:sz w:val="28"/>
                <w:szCs w:val="28"/>
              </w:rPr>
            </w:pPr>
            <w:r w:rsidRPr="005C645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881C9A" w:rsidRDefault="00147962" w:rsidP="00F1136E">
            <w:pPr>
              <w:spacing w:after="40"/>
            </w:pPr>
            <w:r w:rsidRPr="00881C9A">
              <w:t>Names of person</w:t>
            </w:r>
            <w:r w:rsidR="007E5DD9">
              <w:t>(</w:t>
            </w:r>
            <w:r w:rsidRPr="00881C9A">
              <w:t>s</w:t>
            </w:r>
            <w:r w:rsidR="007E5DD9">
              <w:t>)</w:t>
            </w:r>
            <w:r w:rsidRPr="00881C9A">
              <w:t xml:space="preserve"> in possession of keys to facilities storing commodity</w:t>
            </w:r>
          </w:p>
        </w:tc>
      </w:tr>
      <w:tr w:rsidR="00147962" w:rsidRPr="005E432F" w:rsidTr="005C585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5C6456" w:rsidRDefault="00147962" w:rsidP="005C6456">
            <w:pPr>
              <w:spacing w:after="0"/>
              <w:rPr>
                <w:sz w:val="28"/>
                <w:szCs w:val="28"/>
              </w:rPr>
            </w:pPr>
            <w:r w:rsidRPr="005C6456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881C9A" w:rsidRDefault="00147962" w:rsidP="00F1136E">
            <w:pPr>
              <w:spacing w:after="40"/>
            </w:pPr>
            <w:r w:rsidRPr="00881C9A">
              <w:t>Clear terms for suspension or termination of</w:t>
            </w:r>
            <w:r w:rsidR="007E5DD9">
              <w:t xml:space="preserve"> the agreement</w:t>
            </w:r>
          </w:p>
        </w:tc>
      </w:tr>
      <w:tr w:rsidR="00D504BA" w:rsidRPr="005E432F" w:rsidTr="00756693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4BA" w:rsidRPr="00951A68" w:rsidRDefault="00D504BA" w:rsidP="00EF1F88">
            <w:pPr>
              <w:spacing w:before="240" w:after="60"/>
              <w:rPr>
                <w:color w:val="237990"/>
                <w:sz w:val="24"/>
                <w:szCs w:val="24"/>
              </w:rPr>
            </w:pPr>
            <w:r w:rsidRPr="00951A68">
              <w:rPr>
                <w:b/>
                <w:color w:val="237990"/>
                <w:sz w:val="24"/>
                <w:szCs w:val="24"/>
              </w:rPr>
              <w:t>Distribution</w:t>
            </w:r>
            <w:r w:rsidRPr="00951A68">
              <w:rPr>
                <w:b/>
                <w:bCs/>
                <w:color w:val="237990"/>
                <w:sz w:val="24"/>
                <w:szCs w:val="24"/>
              </w:rPr>
              <w:t xml:space="preserve"> Agenc</w:t>
            </w:r>
            <w:r w:rsidR="00EF1F88">
              <w:rPr>
                <w:b/>
                <w:bCs/>
                <w:color w:val="237990"/>
                <w:sz w:val="24"/>
                <w:szCs w:val="24"/>
              </w:rPr>
              <w:t>ies</w:t>
            </w:r>
            <w:r w:rsidRPr="00951A68">
              <w:rPr>
                <w:b/>
                <w:bCs/>
                <w:color w:val="237990"/>
                <w:sz w:val="24"/>
                <w:szCs w:val="24"/>
              </w:rPr>
              <w:t>’ Responsibilities Concerning Commodity Management</w:t>
            </w:r>
          </w:p>
        </w:tc>
      </w:tr>
      <w:tr w:rsidR="00147962" w:rsidRPr="005E432F" w:rsidTr="00951A6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951A68" w:rsidRDefault="00147962" w:rsidP="00951A68">
            <w:pPr>
              <w:spacing w:after="0"/>
              <w:rPr>
                <w:sz w:val="28"/>
                <w:szCs w:val="28"/>
              </w:rPr>
            </w:pPr>
            <w:r w:rsidRPr="00951A6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881C9A" w:rsidRDefault="002160E7" w:rsidP="00951A68">
            <w:pPr>
              <w:spacing w:after="0"/>
            </w:pPr>
            <w:r w:rsidRPr="00881C9A">
              <w:t xml:space="preserve">Establish and use appropriate storage and handling procedures to protect the quality of commodities and guard them against </w:t>
            </w:r>
            <w:r w:rsidR="00951A68">
              <w:t>infestation, damage</w:t>
            </w:r>
            <w:r w:rsidR="00EF1F88">
              <w:t>,</w:t>
            </w:r>
            <w:r w:rsidR="00951A68">
              <w:t xml:space="preserve"> and </w:t>
            </w:r>
            <w:r w:rsidRPr="00881C9A">
              <w:t>loss</w:t>
            </w:r>
            <w:r w:rsidR="00EF1F88">
              <w:t>.</w:t>
            </w:r>
          </w:p>
        </w:tc>
      </w:tr>
      <w:tr w:rsidR="00147962" w:rsidRPr="005E432F" w:rsidTr="00951A6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951A68" w:rsidRDefault="00147962" w:rsidP="00951A68">
            <w:pPr>
              <w:spacing w:after="0"/>
              <w:rPr>
                <w:sz w:val="28"/>
                <w:szCs w:val="28"/>
              </w:rPr>
            </w:pPr>
            <w:r w:rsidRPr="00951A6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2160E7" w:rsidRPr="00951A68" w:rsidRDefault="002160E7" w:rsidP="00951A68">
            <w:pPr>
              <w:spacing w:after="0"/>
            </w:pPr>
            <w:r w:rsidRPr="00881C9A">
              <w:t>Maintain documents and records of all transactions involved in the receipt, storage</w:t>
            </w:r>
            <w:r w:rsidR="00EF1F88">
              <w:t>,</w:t>
            </w:r>
            <w:r w:rsidRPr="00881C9A">
              <w:t xml:space="preserve"> and disposition of commodities, until the commodities are issued for distribution/consumption. These </w:t>
            </w:r>
            <w:r w:rsidRPr="00951A68">
              <w:t>records must:</w:t>
            </w:r>
          </w:p>
          <w:p w:rsidR="002160E7" w:rsidRPr="00881C9A" w:rsidRDefault="002160E7" w:rsidP="00951A68">
            <w:pPr>
              <w:pStyle w:val="ListParagraph"/>
              <w:numPr>
                <w:ilvl w:val="1"/>
                <w:numId w:val="24"/>
              </w:numPr>
              <w:spacing w:before="60" w:after="60"/>
              <w:ind w:left="288" w:hanging="288"/>
              <w:contextualSpacing w:val="0"/>
            </w:pPr>
            <w:r w:rsidRPr="00881C9A">
              <w:t>Be accurately kept</w:t>
            </w:r>
          </w:p>
          <w:p w:rsidR="002160E7" w:rsidRPr="00881C9A" w:rsidRDefault="002160E7" w:rsidP="00951A68">
            <w:pPr>
              <w:pStyle w:val="ListParagraph"/>
              <w:numPr>
                <w:ilvl w:val="1"/>
                <w:numId w:val="24"/>
              </w:numPr>
              <w:spacing w:before="60" w:after="60"/>
              <w:ind w:left="288" w:hanging="288"/>
              <w:contextualSpacing w:val="0"/>
            </w:pPr>
            <w:r w:rsidRPr="00881C9A">
              <w:t>Reflect at all times the quantities on hand and the amounts disbursed</w:t>
            </w:r>
          </w:p>
          <w:p w:rsidR="00147962" w:rsidRDefault="002160E7" w:rsidP="00951A68">
            <w:pPr>
              <w:pStyle w:val="ListParagraph"/>
              <w:numPr>
                <w:ilvl w:val="1"/>
                <w:numId w:val="24"/>
              </w:numPr>
              <w:spacing w:before="60" w:after="60"/>
              <w:ind w:left="288" w:hanging="288"/>
              <w:contextualSpacing w:val="0"/>
            </w:pPr>
            <w:r w:rsidRPr="00881C9A">
              <w:t>Meet the needs of internal and external audits</w:t>
            </w:r>
          </w:p>
          <w:p w:rsidR="00BD792F" w:rsidRPr="00881C9A" w:rsidRDefault="00BD792F" w:rsidP="00951A68">
            <w:pPr>
              <w:pStyle w:val="ListParagraph"/>
              <w:numPr>
                <w:ilvl w:val="1"/>
                <w:numId w:val="24"/>
              </w:numPr>
              <w:spacing w:before="60" w:after="60"/>
              <w:ind w:left="288" w:hanging="288"/>
              <w:contextualSpacing w:val="0"/>
            </w:pPr>
            <w:r w:rsidRPr="00881C9A">
              <w:t>Fully account for all commodities delivered to their possession</w:t>
            </w:r>
          </w:p>
        </w:tc>
      </w:tr>
      <w:tr w:rsidR="00147962" w:rsidRPr="005E432F" w:rsidTr="00951A6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951A68" w:rsidRDefault="00147962" w:rsidP="00951A68">
            <w:pPr>
              <w:spacing w:after="0"/>
              <w:rPr>
                <w:sz w:val="28"/>
                <w:szCs w:val="28"/>
              </w:rPr>
            </w:pPr>
            <w:r w:rsidRPr="00951A6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881C9A" w:rsidRDefault="002160E7" w:rsidP="00EF1F88">
            <w:pPr>
              <w:spacing w:after="40"/>
            </w:pPr>
            <w:r w:rsidRPr="00881C9A">
              <w:t>Submit periodic reports</w:t>
            </w:r>
            <w:r w:rsidR="00BD792F">
              <w:t xml:space="preserve"> to Awardee</w:t>
            </w:r>
            <w:r w:rsidR="00951A68">
              <w:t xml:space="preserve"> (</w:t>
            </w:r>
            <w:r w:rsidR="00EF1F88">
              <w:t>s</w:t>
            </w:r>
            <w:r w:rsidR="00951A68">
              <w:t>pecify type of report and due date)</w:t>
            </w:r>
            <w:r w:rsidR="00EF1F88">
              <w:t>.</w:t>
            </w:r>
          </w:p>
        </w:tc>
      </w:tr>
      <w:tr w:rsidR="002160E7" w:rsidRPr="005E432F" w:rsidTr="00951A6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160E7" w:rsidRPr="00951A68" w:rsidRDefault="002160E7" w:rsidP="00951A68">
            <w:pPr>
              <w:spacing w:after="0"/>
              <w:rPr>
                <w:sz w:val="28"/>
                <w:szCs w:val="28"/>
              </w:rPr>
            </w:pPr>
            <w:r w:rsidRPr="00951A6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2160E7" w:rsidRPr="00881C9A" w:rsidRDefault="002160E7" w:rsidP="00F1136E">
            <w:pPr>
              <w:spacing w:after="40"/>
            </w:pPr>
            <w:r w:rsidRPr="00881C9A">
              <w:t>Maintain accurate, up to date recipient lists</w:t>
            </w:r>
            <w:r w:rsidR="00EF1F88">
              <w:t>.</w:t>
            </w:r>
          </w:p>
        </w:tc>
      </w:tr>
      <w:tr w:rsidR="002160E7" w:rsidRPr="005E432F" w:rsidTr="00951A6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160E7" w:rsidRPr="00951A68" w:rsidRDefault="002160E7" w:rsidP="00951A68">
            <w:pPr>
              <w:spacing w:after="0"/>
              <w:rPr>
                <w:sz w:val="28"/>
                <w:szCs w:val="28"/>
              </w:rPr>
            </w:pPr>
            <w:r w:rsidRPr="00951A6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2160E7" w:rsidRPr="00881C9A" w:rsidRDefault="002160E7" w:rsidP="00F1136E">
            <w:pPr>
              <w:spacing w:after="40"/>
            </w:pPr>
            <w:r w:rsidRPr="00881C9A">
              <w:t>Distribute commodities only to eligible recipients</w:t>
            </w:r>
            <w:r w:rsidR="00EF1F88">
              <w:t>.</w:t>
            </w:r>
          </w:p>
        </w:tc>
      </w:tr>
      <w:tr w:rsidR="00147962" w:rsidRPr="005E432F" w:rsidTr="00951A6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951A68" w:rsidRDefault="00147962" w:rsidP="00951A68">
            <w:pPr>
              <w:spacing w:after="0"/>
              <w:rPr>
                <w:sz w:val="28"/>
                <w:szCs w:val="28"/>
              </w:rPr>
            </w:pPr>
            <w:r w:rsidRPr="00951A6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881C9A" w:rsidRDefault="002160E7" w:rsidP="00F1136E">
            <w:pPr>
              <w:spacing w:after="40"/>
            </w:pPr>
            <w:r w:rsidRPr="00881C9A">
              <w:t>Follow all required publicity and commodity package branding (labeling) requirements</w:t>
            </w:r>
            <w:r w:rsidR="00EF1F88">
              <w:t>.</w:t>
            </w:r>
          </w:p>
        </w:tc>
      </w:tr>
      <w:tr w:rsidR="00147962" w:rsidRPr="005E432F" w:rsidTr="00951A6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951A68" w:rsidRDefault="00147962" w:rsidP="00951A68">
            <w:pPr>
              <w:spacing w:after="0"/>
              <w:rPr>
                <w:sz w:val="28"/>
                <w:szCs w:val="28"/>
              </w:rPr>
            </w:pPr>
            <w:r w:rsidRPr="00951A6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881C9A" w:rsidRDefault="002160E7" w:rsidP="00951A68">
            <w:pPr>
              <w:spacing w:after="0"/>
            </w:pPr>
            <w:r w:rsidRPr="00881C9A">
              <w:t>Adhere to the terms and conditions of Regulation 11, unless USAID and the Awardee agree it would not be appropriate or feasible</w:t>
            </w:r>
            <w:r w:rsidR="00EF1F88">
              <w:t>.</w:t>
            </w:r>
          </w:p>
        </w:tc>
      </w:tr>
      <w:tr w:rsidR="00147962" w:rsidRPr="005E432F" w:rsidTr="00951A6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951A68" w:rsidRDefault="00147962" w:rsidP="00951A68">
            <w:pPr>
              <w:spacing w:after="0"/>
              <w:rPr>
                <w:sz w:val="28"/>
                <w:szCs w:val="28"/>
              </w:rPr>
            </w:pPr>
            <w:r w:rsidRPr="00951A6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047D8C" w:rsidRPr="00881C9A" w:rsidRDefault="002160E7" w:rsidP="00951A68">
            <w:pPr>
              <w:spacing w:after="0"/>
            </w:pPr>
            <w:r w:rsidRPr="00881C9A">
              <w:t xml:space="preserve">Pay the Awardee the value of any commodities </w:t>
            </w:r>
            <w:r w:rsidR="00BD792F">
              <w:t xml:space="preserve">that </w:t>
            </w:r>
            <w:r w:rsidR="00BD792F" w:rsidRPr="00881C9A">
              <w:t xml:space="preserve">are used for purposes not permitted under the </w:t>
            </w:r>
            <w:r w:rsidR="00D504BA">
              <w:t>distribution</w:t>
            </w:r>
            <w:r w:rsidR="00BD792F" w:rsidRPr="00881C9A">
              <w:t xml:space="preserve"> agency agreement</w:t>
            </w:r>
            <w:r w:rsidR="00BD792F">
              <w:t>,</w:t>
            </w:r>
            <w:r w:rsidR="00BD792F" w:rsidRPr="00881C9A">
              <w:t xml:space="preserve"> or </w:t>
            </w:r>
            <w:r w:rsidRPr="00881C9A">
              <w:t xml:space="preserve">that are lost or damaged as a result of the </w:t>
            </w:r>
            <w:r w:rsidR="00D504BA">
              <w:t>distribution</w:t>
            </w:r>
            <w:r w:rsidRPr="00881C9A">
              <w:t xml:space="preserve"> agency’s failure to exercise reasonable care with respect to such commodities</w:t>
            </w:r>
            <w:r w:rsidR="00EF1F88">
              <w:t>.</w:t>
            </w:r>
            <w:r w:rsidRPr="00881C9A">
              <w:t xml:space="preserve"> </w:t>
            </w:r>
          </w:p>
        </w:tc>
      </w:tr>
      <w:tr w:rsidR="00147962" w:rsidRPr="005E432F" w:rsidTr="00951A6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951A68" w:rsidRDefault="00147962" w:rsidP="00951A68">
            <w:pPr>
              <w:spacing w:after="0"/>
              <w:rPr>
                <w:sz w:val="28"/>
                <w:szCs w:val="28"/>
              </w:rPr>
            </w:pPr>
            <w:r w:rsidRPr="00951A6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147962" w:rsidRPr="00881C9A" w:rsidRDefault="002160E7" w:rsidP="00951A68">
            <w:pPr>
              <w:spacing w:after="0"/>
            </w:pPr>
            <w:r w:rsidRPr="00881C9A">
              <w:t>Return or properly dispose of the containers in which the commodity is received from the Awardee</w:t>
            </w:r>
            <w:r w:rsidR="00013F26">
              <w:t>,</w:t>
            </w:r>
            <w:r w:rsidRPr="00881C9A">
              <w:t xml:space="preserve"> according to Awardee instructions</w:t>
            </w:r>
            <w:r w:rsidR="00EF1F88">
              <w:t>.</w:t>
            </w:r>
          </w:p>
        </w:tc>
      </w:tr>
      <w:tr w:rsidR="00951A68" w:rsidRPr="005E432F" w:rsidTr="00951A6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1A68" w:rsidRPr="00951A68" w:rsidRDefault="00951A68" w:rsidP="00951A68">
            <w:pPr>
              <w:spacing w:after="0"/>
              <w:rPr>
                <w:sz w:val="28"/>
                <w:szCs w:val="28"/>
              </w:rPr>
            </w:pPr>
            <w:r w:rsidRPr="00951A6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951A68" w:rsidRPr="00881C9A" w:rsidRDefault="00951A68" w:rsidP="00F1136E">
            <w:pPr>
              <w:spacing w:after="40"/>
            </w:pPr>
            <w:r>
              <w:t>Retain documents according to Awardee instructions</w:t>
            </w:r>
            <w:r w:rsidR="00EF1F88">
              <w:t>.</w:t>
            </w:r>
            <w:bookmarkStart w:id="0" w:name="_GoBack"/>
            <w:bookmarkEnd w:id="0"/>
          </w:p>
        </w:tc>
      </w:tr>
    </w:tbl>
    <w:p w:rsidR="00285445" w:rsidRPr="007B6931" w:rsidRDefault="00285445" w:rsidP="00951A68">
      <w:pPr>
        <w:rPr>
          <w:sz w:val="20"/>
          <w:szCs w:val="20"/>
        </w:rPr>
      </w:pPr>
    </w:p>
    <w:sectPr w:rsidR="00285445" w:rsidRPr="007B6931" w:rsidSect="004D48B5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15" w:rsidRDefault="004E2315" w:rsidP="00243ADC">
      <w:pPr>
        <w:spacing w:before="0" w:after="0"/>
      </w:pPr>
      <w:r>
        <w:separator/>
      </w:r>
    </w:p>
  </w:endnote>
  <w:endnote w:type="continuationSeparator" w:id="0">
    <w:p w:rsidR="004E2315" w:rsidRDefault="004E2315" w:rsidP="00243A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02270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43ADC" w:rsidRPr="008B18AB" w:rsidRDefault="00243ADC" w:rsidP="00243ADC">
            <w:pPr>
              <w:pStyle w:val="Footer"/>
              <w:jc w:val="center"/>
            </w:pPr>
            <w:r w:rsidRPr="008B18AB">
              <w:t xml:space="preserve">Page </w:t>
            </w:r>
            <w:r w:rsidR="00B3700C" w:rsidRPr="008B18AB">
              <w:fldChar w:fldCharType="begin"/>
            </w:r>
            <w:r w:rsidRPr="008B18AB">
              <w:instrText xml:space="preserve"> PAGE </w:instrText>
            </w:r>
            <w:r w:rsidR="00B3700C" w:rsidRPr="008B18AB">
              <w:fldChar w:fldCharType="separate"/>
            </w:r>
            <w:r w:rsidR="00EF1F88">
              <w:rPr>
                <w:noProof/>
              </w:rPr>
              <w:t>2</w:t>
            </w:r>
            <w:r w:rsidR="00B3700C" w:rsidRPr="008B18AB">
              <w:fldChar w:fldCharType="end"/>
            </w:r>
            <w:r w:rsidRPr="008B18AB">
              <w:t xml:space="preserve"> of </w:t>
            </w:r>
            <w:r w:rsidR="00B3700C" w:rsidRPr="008B18AB">
              <w:fldChar w:fldCharType="begin"/>
            </w:r>
            <w:r w:rsidRPr="008B18AB">
              <w:instrText xml:space="preserve"> NUMPAGES  </w:instrText>
            </w:r>
            <w:r w:rsidR="00B3700C" w:rsidRPr="008B18AB">
              <w:fldChar w:fldCharType="separate"/>
            </w:r>
            <w:r w:rsidR="00EF1F88">
              <w:rPr>
                <w:noProof/>
              </w:rPr>
              <w:t>2</w:t>
            </w:r>
            <w:r w:rsidR="00B3700C" w:rsidRPr="008B18AB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15" w:rsidRDefault="004E2315" w:rsidP="00243ADC">
      <w:pPr>
        <w:spacing w:before="0" w:after="0"/>
      </w:pPr>
      <w:r>
        <w:separator/>
      </w:r>
    </w:p>
  </w:footnote>
  <w:footnote w:type="continuationSeparator" w:id="0">
    <w:p w:rsidR="004E2315" w:rsidRDefault="004E2315" w:rsidP="00243A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DC" w:rsidRPr="00243ADC" w:rsidRDefault="00D504BA" w:rsidP="00243ADC">
    <w:pPr>
      <w:pStyle w:val="Header"/>
      <w:jc w:val="center"/>
      <w:rPr>
        <w:sz w:val="28"/>
        <w:szCs w:val="28"/>
      </w:rPr>
    </w:pPr>
    <w:r w:rsidRPr="008B18AB">
      <w:rPr>
        <w:b/>
        <w:color w:val="237990"/>
        <w:sz w:val="28"/>
        <w:szCs w:val="28"/>
      </w:rPr>
      <w:t>Distribution</w:t>
    </w:r>
    <w:r w:rsidR="00243ADC" w:rsidRPr="008B18AB">
      <w:rPr>
        <w:b/>
        <w:color w:val="237990"/>
        <w:sz w:val="28"/>
        <w:szCs w:val="28"/>
      </w:rPr>
      <w:t xml:space="preserve"> Agency Agreement </w:t>
    </w:r>
    <w:r w:rsidR="004D48B5" w:rsidRPr="008B18AB">
      <w:rPr>
        <w:b/>
        <w:color w:val="237990"/>
        <w:sz w:val="28"/>
        <w:szCs w:val="28"/>
      </w:rPr>
      <w:t>C</w:t>
    </w:r>
    <w:r w:rsidR="003A77AC" w:rsidRPr="008B18AB">
      <w:rPr>
        <w:b/>
        <w:color w:val="237990"/>
        <w:sz w:val="28"/>
        <w:szCs w:val="28"/>
      </w:rPr>
      <w:t>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8A8"/>
    <w:multiLevelType w:val="hybridMultilevel"/>
    <w:tmpl w:val="74BCC852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52E"/>
    <w:multiLevelType w:val="hybridMultilevel"/>
    <w:tmpl w:val="2F94BAA6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608F"/>
    <w:multiLevelType w:val="hybridMultilevel"/>
    <w:tmpl w:val="2702FD3C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6F09"/>
    <w:multiLevelType w:val="hybridMultilevel"/>
    <w:tmpl w:val="089C84CE"/>
    <w:lvl w:ilvl="0" w:tplc="F7066DA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FD2684E"/>
    <w:multiLevelType w:val="hybridMultilevel"/>
    <w:tmpl w:val="6C20A364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7EC91C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A4920BD6">
      <w:start w:val="4"/>
      <w:numFmt w:val="bullet"/>
      <w:lvlText w:val="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83A5B"/>
    <w:multiLevelType w:val="hybridMultilevel"/>
    <w:tmpl w:val="0414E13A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A00C7"/>
    <w:multiLevelType w:val="hybridMultilevel"/>
    <w:tmpl w:val="AEFA1D70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CE88C56">
      <w:start w:val="4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A4920BD6">
      <w:start w:val="4"/>
      <w:numFmt w:val="bullet"/>
      <w:lvlText w:val="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55E53"/>
    <w:multiLevelType w:val="hybridMultilevel"/>
    <w:tmpl w:val="B0B49556"/>
    <w:lvl w:ilvl="0" w:tplc="6E4CBA02">
      <w:start w:val="1"/>
      <w:numFmt w:val="bullet"/>
      <w:lvlText w:val="•"/>
      <w:lvlJc w:val="lef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D46C0A"/>
    <w:multiLevelType w:val="hybridMultilevel"/>
    <w:tmpl w:val="1ED8B046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12AE6"/>
    <w:multiLevelType w:val="hybridMultilevel"/>
    <w:tmpl w:val="956852F2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2DD5"/>
    <w:multiLevelType w:val="hybridMultilevel"/>
    <w:tmpl w:val="ED22E9F0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3F82"/>
    <w:multiLevelType w:val="hybridMultilevel"/>
    <w:tmpl w:val="2ECCC3A6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0584"/>
    <w:multiLevelType w:val="hybridMultilevel"/>
    <w:tmpl w:val="7410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E60A1"/>
    <w:multiLevelType w:val="hybridMultilevel"/>
    <w:tmpl w:val="9E5E204C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A4FC9"/>
    <w:multiLevelType w:val="hybridMultilevel"/>
    <w:tmpl w:val="3496D6E8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7066DA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A4920BD6">
      <w:start w:val="4"/>
      <w:numFmt w:val="bullet"/>
      <w:lvlText w:val="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E373C"/>
    <w:multiLevelType w:val="hybridMultilevel"/>
    <w:tmpl w:val="8BA4A92E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92204"/>
    <w:multiLevelType w:val="hybridMultilevel"/>
    <w:tmpl w:val="9C8AFA5A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F3349"/>
    <w:multiLevelType w:val="hybridMultilevel"/>
    <w:tmpl w:val="22E02EE2"/>
    <w:lvl w:ilvl="0" w:tplc="3C9A560A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E0DE0"/>
    <w:multiLevelType w:val="hybridMultilevel"/>
    <w:tmpl w:val="1776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E4CE1"/>
    <w:multiLevelType w:val="hybridMultilevel"/>
    <w:tmpl w:val="405C97B4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44B66"/>
    <w:multiLevelType w:val="hybridMultilevel"/>
    <w:tmpl w:val="80BAC03E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A0AD4"/>
    <w:multiLevelType w:val="hybridMultilevel"/>
    <w:tmpl w:val="33C8E0E4"/>
    <w:lvl w:ilvl="0" w:tplc="1A384802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CC12241"/>
    <w:multiLevelType w:val="hybridMultilevel"/>
    <w:tmpl w:val="B57AAD9A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62063"/>
    <w:multiLevelType w:val="hybridMultilevel"/>
    <w:tmpl w:val="7DC09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D0679F"/>
    <w:multiLevelType w:val="hybridMultilevel"/>
    <w:tmpl w:val="0984674E"/>
    <w:lvl w:ilvl="0" w:tplc="DC4496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19"/>
  </w:num>
  <w:num w:numId="10">
    <w:abstractNumId w:val="0"/>
  </w:num>
  <w:num w:numId="11">
    <w:abstractNumId w:val="12"/>
  </w:num>
  <w:num w:numId="12">
    <w:abstractNumId w:val="17"/>
  </w:num>
  <w:num w:numId="13">
    <w:abstractNumId w:val="6"/>
  </w:num>
  <w:num w:numId="14">
    <w:abstractNumId w:val="15"/>
  </w:num>
  <w:num w:numId="15">
    <w:abstractNumId w:val="20"/>
  </w:num>
  <w:num w:numId="16">
    <w:abstractNumId w:val="22"/>
  </w:num>
  <w:num w:numId="17">
    <w:abstractNumId w:val="13"/>
  </w:num>
  <w:num w:numId="18">
    <w:abstractNumId w:val="24"/>
  </w:num>
  <w:num w:numId="19">
    <w:abstractNumId w:val="21"/>
  </w:num>
  <w:num w:numId="20">
    <w:abstractNumId w:val="7"/>
  </w:num>
  <w:num w:numId="21">
    <w:abstractNumId w:val="3"/>
  </w:num>
  <w:num w:numId="22">
    <w:abstractNumId w:val="23"/>
  </w:num>
  <w:num w:numId="23">
    <w:abstractNumId w:val="4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85C"/>
    <w:rsid w:val="00006F75"/>
    <w:rsid w:val="00010857"/>
    <w:rsid w:val="00012DC6"/>
    <w:rsid w:val="00013F26"/>
    <w:rsid w:val="00026341"/>
    <w:rsid w:val="00047D8C"/>
    <w:rsid w:val="00067235"/>
    <w:rsid w:val="000A658B"/>
    <w:rsid w:val="000B75D5"/>
    <w:rsid w:val="000E7D3D"/>
    <w:rsid w:val="00147962"/>
    <w:rsid w:val="00157F18"/>
    <w:rsid w:val="00161AB3"/>
    <w:rsid w:val="00165D64"/>
    <w:rsid w:val="001A5936"/>
    <w:rsid w:val="001C0143"/>
    <w:rsid w:val="001C1B65"/>
    <w:rsid w:val="002060FF"/>
    <w:rsid w:val="002160E7"/>
    <w:rsid w:val="002243F3"/>
    <w:rsid w:val="002305AD"/>
    <w:rsid w:val="00230F56"/>
    <w:rsid w:val="00243ADC"/>
    <w:rsid w:val="00285445"/>
    <w:rsid w:val="002B6826"/>
    <w:rsid w:val="002D549B"/>
    <w:rsid w:val="002D6479"/>
    <w:rsid w:val="002E0D1A"/>
    <w:rsid w:val="002E372B"/>
    <w:rsid w:val="002E3B88"/>
    <w:rsid w:val="00304D38"/>
    <w:rsid w:val="00323678"/>
    <w:rsid w:val="00333A2D"/>
    <w:rsid w:val="00341B54"/>
    <w:rsid w:val="00341EF9"/>
    <w:rsid w:val="0035594D"/>
    <w:rsid w:val="00360219"/>
    <w:rsid w:val="00371343"/>
    <w:rsid w:val="00374B78"/>
    <w:rsid w:val="003851BB"/>
    <w:rsid w:val="003A77AC"/>
    <w:rsid w:val="003C00BB"/>
    <w:rsid w:val="00404A18"/>
    <w:rsid w:val="00407BBC"/>
    <w:rsid w:val="00473D17"/>
    <w:rsid w:val="004811C2"/>
    <w:rsid w:val="0049560B"/>
    <w:rsid w:val="004D48B5"/>
    <w:rsid w:val="004E103B"/>
    <w:rsid w:val="004E2315"/>
    <w:rsid w:val="0052573D"/>
    <w:rsid w:val="005257D9"/>
    <w:rsid w:val="005620C9"/>
    <w:rsid w:val="0058080E"/>
    <w:rsid w:val="00596965"/>
    <w:rsid w:val="005A0DA5"/>
    <w:rsid w:val="005B721B"/>
    <w:rsid w:val="005C5857"/>
    <w:rsid w:val="005C6456"/>
    <w:rsid w:val="005D09A7"/>
    <w:rsid w:val="005F0B02"/>
    <w:rsid w:val="00600064"/>
    <w:rsid w:val="006052CF"/>
    <w:rsid w:val="00605685"/>
    <w:rsid w:val="0060665C"/>
    <w:rsid w:val="006212BB"/>
    <w:rsid w:val="00640D0B"/>
    <w:rsid w:val="00671AA7"/>
    <w:rsid w:val="00676220"/>
    <w:rsid w:val="0069048D"/>
    <w:rsid w:val="006A23FA"/>
    <w:rsid w:val="006F44B8"/>
    <w:rsid w:val="00745E75"/>
    <w:rsid w:val="00755EA4"/>
    <w:rsid w:val="007A0085"/>
    <w:rsid w:val="007B6931"/>
    <w:rsid w:val="007E5DD9"/>
    <w:rsid w:val="007F5AC1"/>
    <w:rsid w:val="008404C1"/>
    <w:rsid w:val="008722F6"/>
    <w:rsid w:val="00872F00"/>
    <w:rsid w:val="00880F71"/>
    <w:rsid w:val="00881C9A"/>
    <w:rsid w:val="0088359D"/>
    <w:rsid w:val="008B18AB"/>
    <w:rsid w:val="008D3906"/>
    <w:rsid w:val="008F4095"/>
    <w:rsid w:val="00912EF6"/>
    <w:rsid w:val="00951A68"/>
    <w:rsid w:val="0097516C"/>
    <w:rsid w:val="009D6478"/>
    <w:rsid w:val="009F7DCE"/>
    <w:rsid w:val="00A04B77"/>
    <w:rsid w:val="00A16626"/>
    <w:rsid w:val="00A23F0E"/>
    <w:rsid w:val="00A56E35"/>
    <w:rsid w:val="00A61817"/>
    <w:rsid w:val="00AC4B1F"/>
    <w:rsid w:val="00AD2964"/>
    <w:rsid w:val="00AF7DCA"/>
    <w:rsid w:val="00B3700C"/>
    <w:rsid w:val="00B93692"/>
    <w:rsid w:val="00BC5ED0"/>
    <w:rsid w:val="00BD792F"/>
    <w:rsid w:val="00C25925"/>
    <w:rsid w:val="00C56D47"/>
    <w:rsid w:val="00C66AAC"/>
    <w:rsid w:val="00C670A6"/>
    <w:rsid w:val="00CA502F"/>
    <w:rsid w:val="00CC693D"/>
    <w:rsid w:val="00CE1D2E"/>
    <w:rsid w:val="00D2740F"/>
    <w:rsid w:val="00D504BA"/>
    <w:rsid w:val="00D64326"/>
    <w:rsid w:val="00DB1672"/>
    <w:rsid w:val="00E21B93"/>
    <w:rsid w:val="00E75C3A"/>
    <w:rsid w:val="00E7618E"/>
    <w:rsid w:val="00EA185C"/>
    <w:rsid w:val="00EA5289"/>
    <w:rsid w:val="00EF1F88"/>
    <w:rsid w:val="00F1136E"/>
    <w:rsid w:val="00F153E7"/>
    <w:rsid w:val="00F5153B"/>
    <w:rsid w:val="00F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C6F3"/>
  <w15:docId w15:val="{16006593-0BEB-4AC4-98C6-95D02853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61A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AD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3ADC"/>
  </w:style>
  <w:style w:type="paragraph" w:styleId="Footer">
    <w:name w:val="footer"/>
    <w:basedOn w:val="Normal"/>
    <w:link w:val="FooterChar"/>
    <w:uiPriority w:val="99"/>
    <w:unhideWhenUsed/>
    <w:rsid w:val="00243AD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3ADC"/>
  </w:style>
  <w:style w:type="paragraph" w:styleId="BalloonText">
    <w:name w:val="Balloon Text"/>
    <w:basedOn w:val="Normal"/>
    <w:link w:val="BalloonTextChar"/>
    <w:uiPriority w:val="99"/>
    <w:semiHidden/>
    <w:unhideWhenUsed/>
    <w:rsid w:val="00243A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48B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B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2016-06-03T20:02:00Z</cp:lastPrinted>
  <dcterms:created xsi:type="dcterms:W3CDTF">2017-03-14T10:41:00Z</dcterms:created>
  <dcterms:modified xsi:type="dcterms:W3CDTF">2017-03-14T10:41:00Z</dcterms:modified>
</cp:coreProperties>
</file>