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1B1" w:rsidRPr="00385B6C" w:rsidRDefault="001A1FEC" w:rsidP="006A7F3F">
      <w:pPr>
        <w:spacing w:before="0" w:after="200" w:line="252" w:lineRule="auto"/>
        <w:outlineLvl w:val="1"/>
        <w:rPr>
          <w:rFonts w:eastAsia="Times New Roman" w:cs="Arial"/>
          <w:b/>
          <w:color w:val="237990"/>
          <w:sz w:val="24"/>
          <w:szCs w:val="24"/>
        </w:rPr>
      </w:pPr>
      <w:r w:rsidRPr="00385B6C">
        <w:rPr>
          <w:rFonts w:eastAsia="Times New Roman" w:cs="Arial"/>
          <w:b/>
          <w:color w:val="237990"/>
          <w:sz w:val="24"/>
          <w:szCs w:val="24"/>
        </w:rPr>
        <w:t>Types</w:t>
      </w:r>
      <w:r w:rsidR="00E341B1" w:rsidRPr="00385B6C">
        <w:rPr>
          <w:rFonts w:eastAsia="Times New Roman" w:cs="Arial"/>
          <w:b/>
          <w:color w:val="237990"/>
          <w:sz w:val="24"/>
          <w:szCs w:val="24"/>
        </w:rPr>
        <w:t xml:space="preserve"> of Monitoring</w:t>
      </w:r>
    </w:p>
    <w:p w:rsidR="006760B3" w:rsidRPr="006A7F3F" w:rsidRDefault="006760B3" w:rsidP="00CA67A5">
      <w:pPr>
        <w:pStyle w:val="ListParagraph"/>
        <w:numPr>
          <w:ilvl w:val="0"/>
          <w:numId w:val="3"/>
        </w:numPr>
        <w:spacing w:before="0" w:after="60" w:line="252" w:lineRule="auto"/>
        <w:contextualSpacing w:val="0"/>
        <w:outlineLvl w:val="1"/>
        <w:rPr>
          <w:rFonts w:eastAsia="Times New Roman" w:cs="Arial"/>
        </w:rPr>
      </w:pPr>
      <w:r w:rsidRPr="006A7F3F">
        <w:rPr>
          <w:rFonts w:eastAsia="Times New Roman" w:cs="Arial"/>
        </w:rPr>
        <w:t xml:space="preserve">Monitoring the actual </w:t>
      </w:r>
      <w:r w:rsidRPr="00BE643B">
        <w:rPr>
          <w:rFonts w:eastAsia="Times New Roman" w:cs="Arial"/>
          <w:b/>
        </w:rPr>
        <w:t>distribution process</w:t>
      </w:r>
      <w:r w:rsidRPr="006A7F3F">
        <w:rPr>
          <w:rFonts w:eastAsia="Times New Roman" w:cs="Arial"/>
        </w:rPr>
        <w:t xml:space="preserve"> is important to verify recipient eligibility and ensure recipients are receiving the planned quantity and quality of commodity (their </w:t>
      </w:r>
      <w:r w:rsidR="00E341B1" w:rsidRPr="006A7F3F">
        <w:rPr>
          <w:rFonts w:eastAsia="Times New Roman" w:cs="Arial"/>
        </w:rPr>
        <w:t xml:space="preserve">entitlement or </w:t>
      </w:r>
      <w:r w:rsidR="00921BC7" w:rsidRPr="006A7F3F">
        <w:rPr>
          <w:rFonts w:eastAsia="Times New Roman" w:cs="Arial"/>
        </w:rPr>
        <w:t xml:space="preserve">ration). </w:t>
      </w:r>
      <w:r w:rsidRPr="006A7F3F">
        <w:rPr>
          <w:rFonts w:eastAsia="Times New Roman" w:cs="Arial"/>
        </w:rPr>
        <w:t xml:space="preserve">Using a standardized questionnaire </w:t>
      </w:r>
      <w:r w:rsidR="003F7E37" w:rsidRPr="006A7F3F">
        <w:rPr>
          <w:rFonts w:eastAsia="Times New Roman" w:cs="Arial"/>
        </w:rPr>
        <w:t>(</w:t>
      </w:r>
      <w:r w:rsidR="00385B6C">
        <w:rPr>
          <w:rFonts w:eastAsia="Times New Roman" w:cs="Arial"/>
        </w:rPr>
        <w:t>such as</w:t>
      </w:r>
      <w:r w:rsidR="003F7E37" w:rsidRPr="006A7F3F">
        <w:rPr>
          <w:rFonts w:eastAsia="Times New Roman" w:cs="Arial"/>
        </w:rPr>
        <w:t xml:space="preserve"> </w:t>
      </w:r>
      <w:r w:rsidR="00E341B1" w:rsidRPr="006A7F3F">
        <w:rPr>
          <w:rFonts w:eastAsia="Times New Roman" w:cs="Arial"/>
        </w:rPr>
        <w:t>the</w:t>
      </w:r>
      <w:r w:rsidR="00BE643B">
        <w:rPr>
          <w:rFonts w:eastAsia="Times New Roman" w:cs="Arial"/>
        </w:rPr>
        <w:t xml:space="preserve"> </w:t>
      </w:r>
      <w:r w:rsidR="006A7F3F">
        <w:rPr>
          <w:rFonts w:eastAsia="Times New Roman" w:cs="Arial"/>
        </w:rPr>
        <w:t>TOOL:</w:t>
      </w:r>
      <w:r w:rsidR="003F7E37" w:rsidRPr="006A7F3F">
        <w:rPr>
          <w:rFonts w:eastAsia="Times New Roman" w:cs="Arial"/>
        </w:rPr>
        <w:t xml:space="preserve"> </w:t>
      </w:r>
      <w:r w:rsidR="00921BC7" w:rsidRPr="00BE643B">
        <w:rPr>
          <w:rFonts w:eastAsia="Times New Roman" w:cs="Arial"/>
          <w:i/>
        </w:rPr>
        <w:t>On-</w:t>
      </w:r>
      <w:r w:rsidR="00CA67A5">
        <w:rPr>
          <w:rFonts w:eastAsia="Times New Roman" w:cs="Arial"/>
          <w:i/>
        </w:rPr>
        <w:t>S</w:t>
      </w:r>
      <w:r w:rsidR="00921BC7" w:rsidRPr="00BE643B">
        <w:rPr>
          <w:rFonts w:eastAsia="Times New Roman" w:cs="Arial"/>
          <w:i/>
        </w:rPr>
        <w:t>ite</w:t>
      </w:r>
      <w:r w:rsidR="003F7E37" w:rsidRPr="00BE643B">
        <w:rPr>
          <w:rFonts w:eastAsia="Times New Roman" w:cs="Arial"/>
          <w:i/>
        </w:rPr>
        <w:t xml:space="preserve"> Distribution Monitoring Questionnaire Template</w:t>
      </w:r>
      <w:r w:rsidR="003F7E37" w:rsidRPr="006A7F3F">
        <w:rPr>
          <w:rFonts w:eastAsia="Times New Roman" w:cs="Arial"/>
        </w:rPr>
        <w:t>)</w:t>
      </w:r>
      <w:r w:rsidRPr="006A7F3F">
        <w:rPr>
          <w:rFonts w:eastAsia="Times New Roman" w:cs="Arial"/>
        </w:rPr>
        <w:t xml:space="preserve"> at each selected distribution site</w:t>
      </w:r>
      <w:r w:rsidR="00CA67A5">
        <w:rPr>
          <w:rFonts w:eastAsia="Times New Roman" w:cs="Arial"/>
        </w:rPr>
        <w:t>,</w:t>
      </w:r>
      <w:r w:rsidRPr="006A7F3F">
        <w:rPr>
          <w:rFonts w:eastAsia="Times New Roman" w:cs="Arial"/>
        </w:rPr>
        <w:t xml:space="preserve"> food monitors:</w:t>
      </w:r>
    </w:p>
    <w:p w:rsidR="006760B3" w:rsidRPr="00CA67A5" w:rsidRDefault="006A7F3F" w:rsidP="00CA67A5">
      <w:pPr>
        <w:pStyle w:val="ListParagraph"/>
        <w:numPr>
          <w:ilvl w:val="0"/>
          <w:numId w:val="10"/>
        </w:numPr>
        <w:spacing w:before="60" w:after="40" w:line="252" w:lineRule="auto"/>
        <w:contextualSpacing w:val="0"/>
        <w:rPr>
          <w:rFonts w:eastAsia="Times New Roman" w:cs="Arial"/>
        </w:rPr>
      </w:pPr>
      <w:r w:rsidRPr="00CA67A5">
        <w:rPr>
          <w:rFonts w:eastAsia="Times New Roman" w:cs="Arial"/>
        </w:rPr>
        <w:t>Visually inspect</w:t>
      </w:r>
      <w:r w:rsidR="006760B3" w:rsidRPr="00CA67A5">
        <w:rPr>
          <w:rFonts w:eastAsia="Times New Roman" w:cs="Arial"/>
        </w:rPr>
        <w:t xml:space="preserve"> commodity quantity and quality, the site itself, the distribution equipment, and the distribution activities.</w:t>
      </w:r>
    </w:p>
    <w:p w:rsidR="006A7F3F" w:rsidRPr="00CA67A5" w:rsidRDefault="006A7F3F" w:rsidP="00CA67A5">
      <w:pPr>
        <w:pStyle w:val="ListParagraph"/>
        <w:numPr>
          <w:ilvl w:val="0"/>
          <w:numId w:val="10"/>
        </w:numPr>
        <w:spacing w:before="60" w:after="40" w:line="252" w:lineRule="auto"/>
        <w:contextualSpacing w:val="0"/>
        <w:rPr>
          <w:rFonts w:eastAsia="Times New Roman" w:cs="Arial"/>
        </w:rPr>
      </w:pPr>
      <w:r w:rsidRPr="00CA67A5">
        <w:rPr>
          <w:rFonts w:eastAsia="Times New Roman" w:cs="Arial"/>
        </w:rPr>
        <w:t xml:space="preserve">Weigh a sample of </w:t>
      </w:r>
      <w:r w:rsidR="00157F32">
        <w:rPr>
          <w:rFonts w:eastAsia="Times New Roman" w:cs="Arial"/>
        </w:rPr>
        <w:t xml:space="preserve">the </w:t>
      </w:r>
      <w:r w:rsidRPr="00CA67A5">
        <w:rPr>
          <w:rFonts w:eastAsia="Times New Roman" w:cs="Arial"/>
        </w:rPr>
        <w:t>commodity bags/tins received at site.</w:t>
      </w:r>
    </w:p>
    <w:p w:rsidR="00E341B1" w:rsidRPr="00CA67A5" w:rsidRDefault="006760B3" w:rsidP="00CA67A5">
      <w:pPr>
        <w:pStyle w:val="ListParagraph"/>
        <w:numPr>
          <w:ilvl w:val="0"/>
          <w:numId w:val="10"/>
        </w:numPr>
        <w:spacing w:before="60" w:after="40" w:line="252" w:lineRule="auto"/>
        <w:contextualSpacing w:val="0"/>
        <w:rPr>
          <w:rFonts w:eastAsia="Times New Roman" w:cs="Arial"/>
        </w:rPr>
      </w:pPr>
      <w:r w:rsidRPr="00CA67A5">
        <w:rPr>
          <w:rFonts w:eastAsia="Times New Roman" w:cs="Arial"/>
        </w:rPr>
        <w:t xml:space="preserve">Weigh </w:t>
      </w:r>
      <w:r w:rsidR="003F7E37" w:rsidRPr="00CA67A5">
        <w:rPr>
          <w:rFonts w:eastAsia="Times New Roman" w:cs="Arial"/>
        </w:rPr>
        <w:t>a sample of t</w:t>
      </w:r>
      <w:r w:rsidRPr="00CA67A5">
        <w:rPr>
          <w:rFonts w:eastAsia="Times New Roman" w:cs="Arial"/>
        </w:rPr>
        <w:t xml:space="preserve">he </w:t>
      </w:r>
      <w:r w:rsidR="003F7E37" w:rsidRPr="00CA67A5">
        <w:rPr>
          <w:rFonts w:eastAsia="Times New Roman" w:cs="Arial"/>
        </w:rPr>
        <w:t xml:space="preserve">distributed </w:t>
      </w:r>
      <w:r w:rsidRPr="00CA67A5">
        <w:rPr>
          <w:rFonts w:eastAsia="Times New Roman" w:cs="Arial"/>
        </w:rPr>
        <w:t>commodity rations</w:t>
      </w:r>
      <w:r w:rsidR="00E341B1" w:rsidRPr="00CA67A5">
        <w:rPr>
          <w:rFonts w:eastAsia="Times New Roman" w:cs="Arial"/>
        </w:rPr>
        <w:t>.</w:t>
      </w:r>
    </w:p>
    <w:p w:rsidR="006760B3" w:rsidRPr="00CA67A5" w:rsidRDefault="00E341B1" w:rsidP="00CA67A5">
      <w:pPr>
        <w:pStyle w:val="ListParagraph"/>
        <w:numPr>
          <w:ilvl w:val="0"/>
          <w:numId w:val="10"/>
        </w:numPr>
        <w:spacing w:before="60" w:afterLines="60" w:after="144" w:line="252" w:lineRule="auto"/>
        <w:contextualSpacing w:val="0"/>
        <w:rPr>
          <w:rFonts w:eastAsia="Times New Roman" w:cs="Arial"/>
        </w:rPr>
      </w:pPr>
      <w:r w:rsidRPr="00CA67A5">
        <w:rPr>
          <w:rFonts w:eastAsia="Times New Roman" w:cs="Arial"/>
        </w:rPr>
        <w:t>C</w:t>
      </w:r>
      <w:r w:rsidR="006760B3" w:rsidRPr="00CA67A5">
        <w:rPr>
          <w:rFonts w:eastAsia="Times New Roman" w:cs="Arial"/>
        </w:rPr>
        <w:t>onduct exit</w:t>
      </w:r>
      <w:r w:rsidR="006760B3" w:rsidRPr="00CA67A5">
        <w:rPr>
          <w:rFonts w:eastAsia="Times New Roman" w:cs="Arial"/>
          <w:bCs/>
        </w:rPr>
        <w:t xml:space="preserve"> interviews </w:t>
      </w:r>
      <w:r w:rsidR="006760B3" w:rsidRPr="00CA67A5">
        <w:rPr>
          <w:rFonts w:eastAsia="Times New Roman" w:cs="Arial"/>
        </w:rPr>
        <w:t xml:space="preserve">as recipients leave the site. These interviews focus on whether recipients received what </w:t>
      </w:r>
      <w:r w:rsidR="00157F32">
        <w:rPr>
          <w:rFonts w:eastAsia="Times New Roman" w:cs="Arial"/>
        </w:rPr>
        <w:t>they</w:t>
      </w:r>
      <w:r w:rsidR="006760B3" w:rsidRPr="00CA67A5">
        <w:rPr>
          <w:rFonts w:eastAsia="Times New Roman" w:cs="Arial"/>
        </w:rPr>
        <w:t xml:space="preserve"> expected.  </w:t>
      </w:r>
    </w:p>
    <w:p w:rsidR="001A1FEC" w:rsidRPr="006A7F3F" w:rsidRDefault="008852B0" w:rsidP="006A7F3F">
      <w:pPr>
        <w:pStyle w:val="ListParagraph"/>
        <w:numPr>
          <w:ilvl w:val="0"/>
          <w:numId w:val="3"/>
        </w:numPr>
        <w:spacing w:before="0" w:after="200" w:line="252" w:lineRule="auto"/>
        <w:contextualSpacing w:val="0"/>
        <w:rPr>
          <w:rFonts w:eastAsia="Times New Roman" w:cs="Arial"/>
        </w:rPr>
      </w:pPr>
      <w:r w:rsidRPr="006A7F3F">
        <w:t xml:space="preserve">Distribution </w:t>
      </w:r>
      <w:r w:rsidRPr="00BE643B">
        <w:rPr>
          <w:b/>
        </w:rPr>
        <w:t>site storage</w:t>
      </w:r>
      <w:r w:rsidRPr="006A7F3F">
        <w:t xml:space="preserve"> monitoring assesses the adequacy of storage facilities, inventory management</w:t>
      </w:r>
      <w:r w:rsidR="006A7F3F">
        <w:t>,</w:t>
      </w:r>
      <w:r w:rsidRPr="006A7F3F">
        <w:t xml:space="preserve"> and recordkeeping. </w:t>
      </w:r>
      <w:r w:rsidRPr="006A7F3F">
        <w:rPr>
          <w:rFonts w:eastAsia="Times New Roman" w:cs="Tahoma"/>
        </w:rPr>
        <w:t xml:space="preserve">It may be conducted concurrently with the distribution </w:t>
      </w:r>
      <w:r w:rsidR="00E341B1" w:rsidRPr="006A7F3F">
        <w:rPr>
          <w:rFonts w:eastAsia="Times New Roman" w:cs="Tahoma"/>
        </w:rPr>
        <w:t xml:space="preserve">process </w:t>
      </w:r>
      <w:r w:rsidRPr="006A7F3F">
        <w:rPr>
          <w:rFonts w:eastAsia="Times New Roman" w:cs="Tahoma"/>
        </w:rPr>
        <w:t xml:space="preserve">monitoring, or as a separate activity.  </w:t>
      </w:r>
      <w:r w:rsidR="003F7E37" w:rsidRPr="006A7F3F">
        <w:rPr>
          <w:rFonts w:eastAsia="Times New Roman" w:cs="Arial"/>
        </w:rPr>
        <w:t>T</w:t>
      </w:r>
      <w:r w:rsidRPr="006A7F3F">
        <w:rPr>
          <w:rFonts w:eastAsia="Times New Roman" w:cs="Arial"/>
        </w:rPr>
        <w:t xml:space="preserve">he TOOL: </w:t>
      </w:r>
      <w:r w:rsidRPr="00BE643B">
        <w:rPr>
          <w:rFonts w:eastAsia="Times New Roman" w:cs="Arial"/>
          <w:i/>
        </w:rPr>
        <w:t>Distribution Site Storage Monitoring Questionnaire Template</w:t>
      </w:r>
      <w:r w:rsidRPr="006A7F3F">
        <w:rPr>
          <w:rFonts w:eastAsia="Times New Roman" w:cs="Arial"/>
          <w:i/>
        </w:rPr>
        <w:t xml:space="preserve"> </w:t>
      </w:r>
      <w:r w:rsidR="003F7E37" w:rsidRPr="006A7F3F">
        <w:rPr>
          <w:rFonts w:eastAsia="Times New Roman" w:cs="Arial"/>
        </w:rPr>
        <w:t xml:space="preserve">illustrates </w:t>
      </w:r>
      <w:r w:rsidR="00D869D5" w:rsidRPr="006A7F3F">
        <w:rPr>
          <w:rFonts w:eastAsia="Times New Roman" w:cs="Arial"/>
        </w:rPr>
        <w:t xml:space="preserve">the </w:t>
      </w:r>
      <w:r w:rsidRPr="006A7F3F">
        <w:rPr>
          <w:rFonts w:eastAsia="Times New Roman" w:cs="Arial"/>
        </w:rPr>
        <w:t>recommended content of this monitoring activity.</w:t>
      </w:r>
    </w:p>
    <w:p w:rsidR="008852B0" w:rsidRPr="006A7F3F" w:rsidRDefault="008852B0" w:rsidP="006A7F3F">
      <w:pPr>
        <w:pStyle w:val="ListParagraph"/>
        <w:numPr>
          <w:ilvl w:val="0"/>
          <w:numId w:val="3"/>
        </w:numPr>
        <w:spacing w:before="0" w:after="200" w:line="252" w:lineRule="auto"/>
        <w:contextualSpacing w:val="0"/>
        <w:rPr>
          <w:rFonts w:eastAsia="Times New Roman" w:cs="Arial"/>
        </w:rPr>
      </w:pPr>
      <w:r w:rsidRPr="006A7F3F">
        <w:rPr>
          <w:rFonts w:eastAsia="Times New Roman" w:cs="Calibri"/>
        </w:rPr>
        <w:t xml:space="preserve">The purpose of </w:t>
      </w:r>
      <w:r w:rsidRPr="00BE643B">
        <w:rPr>
          <w:rFonts w:eastAsia="Times New Roman" w:cs="Calibri"/>
          <w:b/>
        </w:rPr>
        <w:t>post</w:t>
      </w:r>
      <w:r w:rsidR="00157F32">
        <w:rPr>
          <w:rFonts w:eastAsia="Times New Roman" w:cs="Calibri"/>
          <w:b/>
        </w:rPr>
        <w:t>-</w:t>
      </w:r>
      <w:r w:rsidRPr="00BE643B">
        <w:rPr>
          <w:rFonts w:eastAsia="Times New Roman" w:cs="Calibri"/>
          <w:b/>
        </w:rPr>
        <w:t>distribution</w:t>
      </w:r>
      <w:r w:rsidRPr="006A7F3F">
        <w:rPr>
          <w:rFonts w:eastAsia="Times New Roman" w:cs="Calibri"/>
        </w:rPr>
        <w:t xml:space="preserve"> monitoring (PDM) is to verify that the correct recipients received the correct rations</w:t>
      </w:r>
      <w:r w:rsidR="00D869D5" w:rsidRPr="006A7F3F">
        <w:rPr>
          <w:rFonts w:eastAsia="Times New Roman" w:cs="Calibri"/>
        </w:rPr>
        <w:t>,</w:t>
      </w:r>
      <w:r w:rsidRPr="006A7F3F">
        <w:rPr>
          <w:rFonts w:eastAsia="Times New Roman" w:cs="Calibri"/>
        </w:rPr>
        <w:t xml:space="preserve"> and all eligible recipients can get </w:t>
      </w:r>
      <w:r w:rsidR="007253FA" w:rsidRPr="006A7F3F">
        <w:rPr>
          <w:rFonts w:eastAsia="Times New Roman" w:cs="Calibri"/>
        </w:rPr>
        <w:t xml:space="preserve">(access) </w:t>
      </w:r>
      <w:r w:rsidRPr="006A7F3F">
        <w:rPr>
          <w:rFonts w:eastAsia="Times New Roman" w:cs="Calibri"/>
        </w:rPr>
        <w:t xml:space="preserve">their rations. </w:t>
      </w:r>
      <w:r w:rsidRPr="006A7F3F">
        <w:rPr>
          <w:rFonts w:eastAsia="Times New Roman" w:cs="Arial"/>
        </w:rPr>
        <w:t>This form of monitoring can also capture more detailed feedback on the us</w:t>
      </w:r>
      <w:r w:rsidR="001A1FEC" w:rsidRPr="006A7F3F">
        <w:rPr>
          <w:rFonts w:eastAsia="Times New Roman" w:cs="Arial"/>
        </w:rPr>
        <w:t>e, storage, preparation</w:t>
      </w:r>
      <w:r w:rsidR="006A7F3F">
        <w:rPr>
          <w:rFonts w:eastAsia="Times New Roman" w:cs="Arial"/>
        </w:rPr>
        <w:t>,</w:t>
      </w:r>
      <w:r w:rsidRPr="006A7F3F">
        <w:rPr>
          <w:rFonts w:eastAsia="Times New Roman" w:cs="Arial"/>
        </w:rPr>
        <w:t xml:space="preserve"> and appropriateness of commodities distributed.</w:t>
      </w:r>
      <w:r w:rsidR="001A1FEC" w:rsidRPr="006A7F3F">
        <w:rPr>
          <w:rFonts w:eastAsia="Times New Roman" w:cs="Arial"/>
        </w:rPr>
        <w:t xml:space="preserve"> </w:t>
      </w:r>
      <w:r w:rsidR="001A139C" w:rsidRPr="006A7F3F">
        <w:rPr>
          <w:rFonts w:ascii="Calibri" w:eastAsia="Times New Roman" w:hAnsi="Calibri" w:cs="Calibri"/>
        </w:rPr>
        <w:t>(</w:t>
      </w:r>
      <w:r w:rsidR="001A1FEC" w:rsidRPr="006A7F3F">
        <w:rPr>
          <w:rFonts w:eastAsia="Times New Roman" w:cs="Arial"/>
        </w:rPr>
        <w:t>Data on the impact of the distribution on recipients</w:t>
      </w:r>
      <w:r w:rsidR="001A139C" w:rsidRPr="006A7F3F">
        <w:rPr>
          <w:rFonts w:eastAsia="Times New Roman" w:cs="Arial"/>
        </w:rPr>
        <w:t>’</w:t>
      </w:r>
      <w:r w:rsidR="001A1FEC" w:rsidRPr="006A7F3F">
        <w:rPr>
          <w:rFonts w:eastAsia="Times New Roman" w:cs="Arial"/>
        </w:rPr>
        <w:t xml:space="preserve"> lives or livelihoods should be obtained through normal program monitoring activities.</w:t>
      </w:r>
      <w:r w:rsidR="001A139C" w:rsidRPr="006A7F3F">
        <w:rPr>
          <w:rFonts w:eastAsia="Times New Roman" w:cs="Arial"/>
        </w:rPr>
        <w:t xml:space="preserve">) </w:t>
      </w:r>
      <w:r w:rsidR="001A139C" w:rsidRPr="006A7F3F">
        <w:rPr>
          <w:rFonts w:ascii="Calibri" w:eastAsia="Times New Roman" w:hAnsi="Calibri" w:cs="Calibri"/>
        </w:rPr>
        <w:t xml:space="preserve">PDM should take place within </w:t>
      </w:r>
      <w:r w:rsidR="00D63809">
        <w:rPr>
          <w:rFonts w:ascii="Calibri" w:eastAsia="Times New Roman" w:hAnsi="Calibri" w:cs="Calibri"/>
        </w:rPr>
        <w:t>two</w:t>
      </w:r>
      <w:r w:rsidR="001A139C" w:rsidRPr="006A7F3F">
        <w:rPr>
          <w:rFonts w:ascii="Calibri" w:eastAsia="Times New Roman" w:hAnsi="Calibri" w:cs="Calibri"/>
        </w:rPr>
        <w:t xml:space="preserve"> weeks after a distribution.</w:t>
      </w:r>
      <w:r w:rsidR="006A7F3F">
        <w:rPr>
          <w:rFonts w:ascii="Calibri" w:eastAsia="Times New Roman" w:hAnsi="Calibri" w:cs="Calibri"/>
        </w:rPr>
        <w:t xml:space="preserve"> </w:t>
      </w:r>
      <w:r w:rsidRPr="006A7F3F">
        <w:rPr>
          <w:rFonts w:ascii="Calibri" w:eastAsia="Times New Roman" w:hAnsi="Calibri" w:cs="Calibri"/>
        </w:rPr>
        <w:t xml:space="preserve">PDM is generally conducted </w:t>
      </w:r>
      <w:r w:rsidR="00D63809">
        <w:rPr>
          <w:rFonts w:ascii="Calibri" w:eastAsia="Times New Roman" w:hAnsi="Calibri" w:cs="Calibri"/>
        </w:rPr>
        <w:t>via a</w:t>
      </w:r>
      <w:r w:rsidRPr="006A7F3F">
        <w:rPr>
          <w:rFonts w:ascii="Calibri" w:eastAsia="Times New Roman" w:hAnsi="Calibri" w:cs="Calibri"/>
        </w:rPr>
        <w:t xml:space="preserve"> recipient household survey, preferably following a pre-determined questionnaire</w:t>
      </w:r>
      <w:r w:rsidR="00D869D5" w:rsidRPr="006A7F3F">
        <w:rPr>
          <w:rFonts w:ascii="Calibri" w:eastAsia="Times New Roman" w:hAnsi="Calibri" w:cs="Calibri"/>
        </w:rPr>
        <w:t xml:space="preserve"> (</w:t>
      </w:r>
      <w:r w:rsidR="00385B6C">
        <w:rPr>
          <w:rFonts w:ascii="Calibri" w:eastAsia="Times New Roman" w:hAnsi="Calibri" w:cs="Calibri"/>
        </w:rPr>
        <w:t>such as</w:t>
      </w:r>
      <w:r w:rsidR="00E341B1" w:rsidRPr="006A7F3F">
        <w:rPr>
          <w:rFonts w:ascii="Calibri" w:eastAsia="Times New Roman" w:hAnsi="Calibri" w:cs="Calibri"/>
        </w:rPr>
        <w:t xml:space="preserve"> the </w:t>
      </w:r>
      <w:r w:rsidR="006A7F3F">
        <w:rPr>
          <w:rFonts w:ascii="Calibri" w:eastAsia="Times New Roman" w:hAnsi="Calibri" w:cs="Calibri"/>
        </w:rPr>
        <w:t xml:space="preserve">TOOL: </w:t>
      </w:r>
      <w:r w:rsidR="00D63809">
        <w:rPr>
          <w:rFonts w:ascii="Calibri" w:eastAsia="Times New Roman" w:hAnsi="Calibri" w:cs="Calibri"/>
          <w:i/>
        </w:rPr>
        <w:t>Post-</w:t>
      </w:r>
      <w:r w:rsidR="007253FA" w:rsidRPr="00BE643B">
        <w:rPr>
          <w:rFonts w:ascii="Calibri" w:eastAsia="Times New Roman" w:hAnsi="Calibri" w:cs="Calibri"/>
          <w:i/>
        </w:rPr>
        <w:t>Distribution Monitoring Questionnaire Template</w:t>
      </w:r>
      <w:r w:rsidR="00D869D5" w:rsidRPr="006A7F3F">
        <w:rPr>
          <w:rFonts w:eastAsia="Times New Roman" w:cs="Arial"/>
        </w:rPr>
        <w:t>).</w:t>
      </w:r>
      <w:r w:rsidR="007253FA" w:rsidRPr="006A7F3F">
        <w:rPr>
          <w:rFonts w:eastAsia="Times New Roman" w:cs="Arial"/>
        </w:rPr>
        <w:t xml:space="preserve"> </w:t>
      </w:r>
    </w:p>
    <w:p w:rsidR="000E6E93" w:rsidRPr="00385B6C" w:rsidRDefault="000E6E93" w:rsidP="00385B6C">
      <w:pPr>
        <w:spacing w:before="0" w:after="200" w:line="252" w:lineRule="auto"/>
        <w:rPr>
          <w:rFonts w:ascii="Calibri" w:eastAsia="Times New Roman" w:hAnsi="Calibri" w:cs="Calibri"/>
          <w:b/>
          <w:color w:val="237990"/>
          <w:sz w:val="24"/>
          <w:szCs w:val="24"/>
        </w:rPr>
      </w:pPr>
      <w:r w:rsidRPr="00385B6C">
        <w:rPr>
          <w:rFonts w:ascii="Calibri" w:eastAsia="Times New Roman" w:hAnsi="Calibri" w:cs="Calibri"/>
          <w:b/>
          <w:color w:val="237990"/>
          <w:sz w:val="24"/>
          <w:szCs w:val="24"/>
        </w:rPr>
        <w:t xml:space="preserve">Minimum Components of All Distribution Monitoring Systems </w:t>
      </w:r>
    </w:p>
    <w:p w:rsidR="0015128C" w:rsidRPr="00385B6C" w:rsidRDefault="0015128C" w:rsidP="00D85E74">
      <w:pPr>
        <w:numPr>
          <w:ilvl w:val="0"/>
          <w:numId w:val="1"/>
        </w:numPr>
        <w:spacing w:before="0" w:after="200" w:line="252" w:lineRule="auto"/>
        <w:rPr>
          <w:rFonts w:eastAsia="Times New Roman" w:cs="Calibri"/>
        </w:rPr>
      </w:pPr>
      <w:r w:rsidRPr="006A7F3F">
        <w:rPr>
          <w:rFonts w:eastAsia="Times New Roman" w:cs="Calibri"/>
        </w:rPr>
        <w:t>A</w:t>
      </w:r>
      <w:r w:rsidR="000E6E93" w:rsidRPr="006A7F3F">
        <w:rPr>
          <w:rFonts w:eastAsia="Times New Roman" w:cs="Calibri"/>
        </w:rPr>
        <w:t xml:space="preserve"> </w:t>
      </w:r>
      <w:r w:rsidR="00385B6C">
        <w:rPr>
          <w:rFonts w:eastAsia="Times New Roman" w:cs="Calibri"/>
        </w:rPr>
        <w:t>documented</w:t>
      </w:r>
      <w:r w:rsidRPr="006A7F3F">
        <w:rPr>
          <w:rFonts w:eastAsia="Times New Roman" w:cs="Calibri"/>
        </w:rPr>
        <w:t xml:space="preserve"> </w:t>
      </w:r>
      <w:r w:rsidR="000E6E93" w:rsidRPr="00BE643B">
        <w:rPr>
          <w:rFonts w:eastAsia="Times New Roman" w:cs="Calibri"/>
          <w:b/>
        </w:rPr>
        <w:t xml:space="preserve">method </w:t>
      </w:r>
      <w:r w:rsidR="00D63809">
        <w:rPr>
          <w:rFonts w:eastAsia="Times New Roman" w:cs="Calibri"/>
          <w:b/>
        </w:rPr>
        <w:t>of</w:t>
      </w:r>
      <w:r w:rsidR="000E6E93" w:rsidRPr="00BE643B">
        <w:rPr>
          <w:rFonts w:eastAsia="Times New Roman" w:cs="Calibri"/>
          <w:b/>
        </w:rPr>
        <w:t xml:space="preserve"> objectively selec</w:t>
      </w:r>
      <w:r w:rsidR="006202EB">
        <w:rPr>
          <w:rFonts w:eastAsia="Times New Roman" w:cs="Calibri"/>
          <w:b/>
        </w:rPr>
        <w:t>t</w:t>
      </w:r>
      <w:bookmarkStart w:id="0" w:name="_GoBack"/>
      <w:bookmarkEnd w:id="0"/>
      <w:r w:rsidR="00D63809">
        <w:rPr>
          <w:rFonts w:eastAsia="Times New Roman" w:cs="Calibri"/>
          <w:b/>
        </w:rPr>
        <w:t>ing</w:t>
      </w:r>
      <w:r w:rsidR="000E6E93" w:rsidRPr="00BE643B">
        <w:rPr>
          <w:rFonts w:eastAsia="Times New Roman" w:cs="Calibri"/>
          <w:b/>
        </w:rPr>
        <w:t xml:space="preserve"> a particular distribution site </w:t>
      </w:r>
      <w:r w:rsidRPr="00BE643B">
        <w:rPr>
          <w:rFonts w:eastAsia="Times New Roman" w:cs="Calibri"/>
          <w:b/>
        </w:rPr>
        <w:t>or recipient</w:t>
      </w:r>
      <w:r w:rsidRPr="006A7F3F">
        <w:rPr>
          <w:rFonts w:eastAsia="Times New Roman" w:cs="Calibri"/>
        </w:rPr>
        <w:t xml:space="preserve"> </w:t>
      </w:r>
      <w:r w:rsidR="000E6E93" w:rsidRPr="006A7F3F">
        <w:rPr>
          <w:rFonts w:eastAsia="Times New Roman" w:cs="Calibri"/>
        </w:rPr>
        <w:t xml:space="preserve">for monitoring. </w:t>
      </w:r>
      <w:r w:rsidR="00463700" w:rsidRPr="006A7F3F">
        <w:t xml:space="preserve">Discuss with USAID the desired method of sampling (or how to determine which sites to monitor at a specific point in time) and the required confidence level for selecting sample sizes. </w:t>
      </w:r>
      <w:r w:rsidR="00463700" w:rsidRPr="00385B6C">
        <w:rPr>
          <w:rFonts w:eastAsia="Times New Roman" w:cs="Calibri"/>
        </w:rPr>
        <w:t>If you do not have adequate resources to monitor the sample size required to ensure a specific confidence level, negotiate (and document) a lower confidence level.</w:t>
      </w:r>
      <w:r w:rsidR="00385B6C">
        <w:rPr>
          <w:rFonts w:eastAsia="Times New Roman" w:cs="Calibri"/>
        </w:rPr>
        <w:t xml:space="preserve"> </w:t>
      </w:r>
      <w:r w:rsidR="00463700" w:rsidRPr="006A7F3F">
        <w:t>Priority may be assigned to, for example, sites with large numbers of recipients or sites where significant issues have been previously noted.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15128C" w:rsidRPr="006A7F3F" w:rsidTr="00A32C93">
        <w:trPr>
          <w:jc w:val="center"/>
        </w:trPr>
        <w:tc>
          <w:tcPr>
            <w:tcW w:w="7200" w:type="dxa"/>
          </w:tcPr>
          <w:p w:rsidR="0015128C" w:rsidRPr="00385B6C" w:rsidRDefault="0015128C" w:rsidP="006A7F3F">
            <w:pPr>
              <w:spacing w:before="0" w:after="200" w:line="252" w:lineRule="auto"/>
              <w:ind w:left="144" w:right="144"/>
              <w:rPr>
                <w:sz w:val="20"/>
                <w:szCs w:val="20"/>
              </w:rPr>
            </w:pPr>
            <w:r w:rsidRPr="00385B6C">
              <w:rPr>
                <w:rFonts w:eastAsia="Times New Roman" w:cs="Calibri"/>
                <w:sz w:val="20"/>
                <w:szCs w:val="20"/>
              </w:rPr>
              <w:t xml:space="preserve">For a complete discussion on determining sample size requirements, selecting the sample, and analyzing the data, refer to </w:t>
            </w:r>
            <w:r w:rsidR="00734A05" w:rsidRPr="00385B6C">
              <w:rPr>
                <w:rFonts w:eastAsia="Times New Roman" w:cs="Calibri"/>
                <w:b/>
                <w:i/>
                <w:sz w:val="20"/>
                <w:szCs w:val="20"/>
              </w:rPr>
              <w:t>A Practical Guide to Sampling</w:t>
            </w:r>
            <w:r w:rsidRPr="00385B6C">
              <w:rPr>
                <w:rFonts w:eastAsia="Times New Roman" w:cs="Calibri"/>
                <w:sz w:val="20"/>
                <w:szCs w:val="20"/>
              </w:rPr>
              <w:t xml:space="preserve">, available at </w:t>
            </w:r>
            <w:hyperlink r:id="rId8" w:history="1">
              <w:r w:rsidR="00734A05" w:rsidRPr="00A217B9">
                <w:rPr>
                  <w:rStyle w:val="Hyperlink"/>
                  <w:color w:val="237990"/>
                  <w:sz w:val="20"/>
                  <w:szCs w:val="20"/>
                </w:rPr>
                <w:t>http://www.fsnnetwork.org/sites/default/files/samplingguide.pdf</w:t>
              </w:r>
            </w:hyperlink>
            <w:r w:rsidR="00734A05" w:rsidRPr="00385B6C">
              <w:rPr>
                <w:sz w:val="20"/>
                <w:szCs w:val="20"/>
              </w:rPr>
              <w:t xml:space="preserve"> </w:t>
            </w:r>
            <w:r w:rsidR="00523688" w:rsidRPr="00385B6C">
              <w:rPr>
                <w:sz w:val="20"/>
                <w:szCs w:val="20"/>
              </w:rPr>
              <w:t>or</w:t>
            </w:r>
          </w:p>
          <w:p w:rsidR="00523688" w:rsidRPr="00385B6C" w:rsidRDefault="00523688" w:rsidP="006A7F3F">
            <w:pPr>
              <w:spacing w:before="0" w:after="200" w:line="252" w:lineRule="auto"/>
              <w:ind w:left="144" w:right="144"/>
              <w:rPr>
                <w:rFonts w:eastAsia="Times New Roman" w:cs="Times New Roman"/>
                <w:sz w:val="20"/>
                <w:szCs w:val="20"/>
              </w:rPr>
            </w:pPr>
            <w:r w:rsidRPr="00385B6C">
              <w:rPr>
                <w:rFonts w:eastAsia="Times New Roman" w:cs="Times New Roman"/>
                <w:bCs/>
                <w:sz w:val="20"/>
                <w:szCs w:val="20"/>
              </w:rPr>
              <w:t>Module 3, Session 4: Statistical Concepts and Data Analysis </w:t>
            </w:r>
            <w:r w:rsidR="00030F9B" w:rsidRPr="00385B6C">
              <w:rPr>
                <w:rFonts w:eastAsia="Times New Roman" w:cs="Times New Roman"/>
                <w:bCs/>
                <w:sz w:val="20"/>
                <w:szCs w:val="20"/>
              </w:rPr>
              <w:t>in</w:t>
            </w:r>
            <w:r w:rsidR="00D63809">
              <w:rPr>
                <w:rFonts w:eastAsia="Times New Roman" w:cs="Times New Roman"/>
                <w:bCs/>
                <w:sz w:val="20"/>
                <w:szCs w:val="20"/>
              </w:rPr>
              <w:t xml:space="preserve"> the</w:t>
            </w:r>
            <w:r w:rsidR="00030F9B" w:rsidRPr="00385B6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30F9B" w:rsidRPr="00385B6C"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t>Monitoring and Evaluation Facilitator’s Guide</w:t>
            </w:r>
            <w:r w:rsidR="00030F9B" w:rsidRPr="00385B6C">
              <w:rPr>
                <w:rFonts w:eastAsia="Times New Roman" w:cs="Times New Roman"/>
                <w:bCs/>
                <w:sz w:val="20"/>
                <w:szCs w:val="20"/>
              </w:rPr>
              <w:t>, available at</w:t>
            </w:r>
            <w:r w:rsidR="00030F9B" w:rsidRPr="00385B6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hyperlink r:id="rId9" w:history="1">
              <w:r w:rsidR="00030F9B" w:rsidRPr="00A217B9">
                <w:rPr>
                  <w:rStyle w:val="Hyperlink"/>
                  <w:rFonts w:eastAsia="Times New Roman" w:cs="Times New Roman"/>
                  <w:bCs/>
                  <w:color w:val="237990"/>
                  <w:sz w:val="20"/>
                  <w:szCs w:val="20"/>
                </w:rPr>
                <w:t>http://www.fsnnetwork.org/monitoring-and-evaluation-facilitators-guide</w:t>
              </w:r>
            </w:hyperlink>
            <w:r w:rsidR="00030F9B" w:rsidRPr="00385B6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5128C" w:rsidRPr="006A7F3F" w:rsidTr="00A32C93">
        <w:trPr>
          <w:jc w:val="center"/>
        </w:trPr>
        <w:tc>
          <w:tcPr>
            <w:tcW w:w="7200" w:type="dxa"/>
          </w:tcPr>
          <w:p w:rsidR="0015128C" w:rsidRPr="00385B6C" w:rsidRDefault="008852B0" w:rsidP="00D63809">
            <w:pPr>
              <w:autoSpaceDE w:val="0"/>
              <w:autoSpaceDN w:val="0"/>
              <w:adjustRightInd w:val="0"/>
              <w:spacing w:before="0" w:after="200" w:line="252" w:lineRule="auto"/>
              <w:ind w:left="14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B6C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  <w:r w:rsidRPr="00385B6C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="00D63809">
              <w:rPr>
                <w:rFonts w:eastAsia="Times New Roman" w:cs="Times New Roman"/>
                <w:bCs/>
                <w:sz w:val="20"/>
                <w:szCs w:val="20"/>
              </w:rPr>
              <w:t>“</w:t>
            </w:r>
            <w:r w:rsidRPr="00385B6C">
              <w:rPr>
                <w:rFonts w:eastAsia="Times New Roman" w:cs="Times New Roman"/>
                <w:bCs/>
                <w:sz w:val="20"/>
                <w:szCs w:val="20"/>
              </w:rPr>
              <w:t>good enough</w:t>
            </w:r>
            <w:r w:rsidR="00D63809">
              <w:rPr>
                <w:rFonts w:eastAsia="Times New Roman" w:cs="Times New Roman"/>
                <w:bCs/>
                <w:sz w:val="20"/>
                <w:szCs w:val="20"/>
              </w:rPr>
              <w:t>”</w:t>
            </w:r>
            <w:r w:rsidRPr="00385B6C">
              <w:rPr>
                <w:rFonts w:eastAsia="Times New Roman" w:cs="Times New Roman"/>
                <w:bCs/>
                <w:sz w:val="20"/>
                <w:szCs w:val="20"/>
              </w:rPr>
              <w:t xml:space="preserve"> random sample size is 20</w:t>
            </w:r>
            <w:r w:rsidR="00D63809">
              <w:rPr>
                <w:rFonts w:eastAsia="Times New Roman" w:cs="Times New Roman"/>
                <w:bCs/>
                <w:sz w:val="20"/>
                <w:szCs w:val="20"/>
              </w:rPr>
              <w:t xml:space="preserve"> percent</w:t>
            </w:r>
            <w:r w:rsidRPr="00385B6C">
              <w:rPr>
                <w:rFonts w:eastAsia="Times New Roman" w:cs="Times New Roman"/>
                <w:bCs/>
                <w:sz w:val="20"/>
                <w:szCs w:val="20"/>
              </w:rPr>
              <w:t xml:space="preserve"> of households</w:t>
            </w:r>
            <w:r w:rsidR="007253FA" w:rsidRPr="00385B6C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Pr="00385B6C">
              <w:rPr>
                <w:rFonts w:eastAsia="Times New Roman" w:cs="Times New Roman"/>
                <w:bCs/>
                <w:sz w:val="20"/>
                <w:szCs w:val="20"/>
              </w:rPr>
              <w:t>for distributions smaller than 200 households</w:t>
            </w:r>
            <w:r w:rsidR="007253FA" w:rsidRPr="00385B6C">
              <w:rPr>
                <w:rFonts w:eastAsia="Times New Roman" w:cs="Times New Roman"/>
                <w:bCs/>
                <w:sz w:val="20"/>
                <w:szCs w:val="20"/>
              </w:rPr>
              <w:t>;</w:t>
            </w:r>
            <w:r w:rsidRPr="00385B6C">
              <w:rPr>
                <w:rFonts w:eastAsia="Times New Roman" w:cs="Times New Roman"/>
                <w:bCs/>
                <w:sz w:val="20"/>
                <w:szCs w:val="20"/>
              </w:rPr>
              <w:t xml:space="preserve"> 10</w:t>
            </w:r>
            <w:r w:rsidR="00D63809">
              <w:rPr>
                <w:rFonts w:eastAsia="Times New Roman" w:cs="Times New Roman"/>
                <w:bCs/>
                <w:sz w:val="20"/>
                <w:szCs w:val="20"/>
              </w:rPr>
              <w:t xml:space="preserve"> percent</w:t>
            </w:r>
            <w:r w:rsidRPr="00385B6C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="007253FA" w:rsidRPr="00385B6C">
              <w:rPr>
                <w:rFonts w:eastAsia="Times New Roman" w:cs="Times New Roman"/>
                <w:bCs/>
                <w:sz w:val="20"/>
                <w:szCs w:val="20"/>
              </w:rPr>
              <w:t xml:space="preserve">for </w:t>
            </w:r>
            <w:r w:rsidRPr="00385B6C">
              <w:rPr>
                <w:rFonts w:eastAsia="Times New Roman" w:cs="Times New Roman"/>
                <w:bCs/>
                <w:sz w:val="20"/>
                <w:szCs w:val="20"/>
              </w:rPr>
              <w:t xml:space="preserve">distributions </w:t>
            </w:r>
            <w:r w:rsidR="00D63809">
              <w:rPr>
                <w:rFonts w:eastAsia="Times New Roman" w:cs="Times New Roman"/>
                <w:bCs/>
                <w:sz w:val="20"/>
                <w:szCs w:val="20"/>
              </w:rPr>
              <w:t>of</w:t>
            </w:r>
            <w:r w:rsidRPr="00385B6C">
              <w:rPr>
                <w:rFonts w:eastAsia="Times New Roman" w:cs="Times New Roman"/>
                <w:bCs/>
                <w:sz w:val="20"/>
                <w:szCs w:val="20"/>
              </w:rPr>
              <w:t xml:space="preserve"> 200</w:t>
            </w:r>
            <w:r w:rsidR="00D63809"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  <w:r w:rsidRPr="00385B6C">
              <w:rPr>
                <w:rFonts w:eastAsia="Times New Roman" w:cs="Times New Roman"/>
                <w:bCs/>
                <w:sz w:val="20"/>
                <w:szCs w:val="20"/>
              </w:rPr>
              <w:t xml:space="preserve">750 </w:t>
            </w:r>
            <w:r w:rsidR="007253FA" w:rsidRPr="00385B6C">
              <w:rPr>
                <w:rFonts w:eastAsia="Times New Roman" w:cs="Times New Roman"/>
                <w:bCs/>
                <w:sz w:val="20"/>
                <w:szCs w:val="20"/>
              </w:rPr>
              <w:t xml:space="preserve">households; </w:t>
            </w:r>
            <w:r w:rsidRPr="00385B6C">
              <w:rPr>
                <w:rFonts w:eastAsia="Times New Roman" w:cs="Times New Roman"/>
                <w:bCs/>
                <w:sz w:val="20"/>
                <w:szCs w:val="20"/>
              </w:rPr>
              <w:t>and 5</w:t>
            </w:r>
            <w:r w:rsidR="00D63809">
              <w:rPr>
                <w:rFonts w:eastAsia="Times New Roman" w:cs="Times New Roman"/>
                <w:bCs/>
                <w:sz w:val="20"/>
                <w:szCs w:val="20"/>
              </w:rPr>
              <w:t xml:space="preserve"> percent</w:t>
            </w:r>
            <w:r w:rsidRPr="00385B6C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="007253FA" w:rsidRPr="00385B6C">
              <w:rPr>
                <w:rFonts w:eastAsia="Times New Roman" w:cs="Times New Roman"/>
                <w:bCs/>
                <w:sz w:val="20"/>
                <w:szCs w:val="20"/>
              </w:rPr>
              <w:t xml:space="preserve">for </w:t>
            </w:r>
            <w:r w:rsidRPr="00385B6C">
              <w:rPr>
                <w:rFonts w:eastAsia="Times New Roman" w:cs="Times New Roman"/>
                <w:bCs/>
                <w:sz w:val="20"/>
                <w:szCs w:val="20"/>
              </w:rPr>
              <w:t xml:space="preserve">distributions greater than 750 households.  </w:t>
            </w:r>
            <w:r w:rsidRPr="00385B6C">
              <w:rPr>
                <w:rFonts w:ascii="Calibri" w:eastAsia="Times New Roman" w:hAnsi="Calibri" w:cs="Calibri"/>
                <w:sz w:val="20"/>
                <w:szCs w:val="20"/>
              </w:rPr>
              <w:t xml:space="preserve">The sample size should be larger than </w:t>
            </w:r>
            <w:r w:rsidR="00D63809">
              <w:rPr>
                <w:rFonts w:ascii="Calibri" w:eastAsia="Times New Roman" w:hAnsi="Calibri" w:cs="Calibri"/>
                <w:sz w:val="20"/>
                <w:szCs w:val="20"/>
              </w:rPr>
              <w:t>“</w:t>
            </w:r>
            <w:r w:rsidR="007253FA" w:rsidRPr="00385B6C">
              <w:rPr>
                <w:rFonts w:ascii="Calibri" w:eastAsia="Times New Roman" w:hAnsi="Calibri" w:cs="Calibri"/>
                <w:sz w:val="20"/>
                <w:szCs w:val="20"/>
              </w:rPr>
              <w:t>good enough</w:t>
            </w:r>
            <w:r w:rsidR="00D63809">
              <w:rPr>
                <w:rFonts w:ascii="Calibri" w:eastAsia="Times New Roman" w:hAnsi="Calibri" w:cs="Calibri"/>
                <w:sz w:val="20"/>
                <w:szCs w:val="20"/>
              </w:rPr>
              <w:t>”</w:t>
            </w:r>
            <w:r w:rsidRPr="00385B6C">
              <w:rPr>
                <w:rFonts w:ascii="Calibri" w:eastAsia="Times New Roman" w:hAnsi="Calibri" w:cs="Calibri"/>
                <w:sz w:val="20"/>
                <w:szCs w:val="20"/>
              </w:rPr>
              <w:t xml:space="preserve"> if</w:t>
            </w:r>
            <w:r w:rsidR="00441B1B" w:rsidRPr="00385B6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441B1B" w:rsidRPr="00385B6C">
              <w:rPr>
                <w:rFonts w:eastAsia="Times New Roman" w:cs="Calibri"/>
                <w:sz w:val="20"/>
                <w:szCs w:val="20"/>
              </w:rPr>
              <w:t>t</w:t>
            </w:r>
            <w:r w:rsidRPr="00385B6C">
              <w:rPr>
                <w:rFonts w:eastAsia="Times New Roman" w:cs="Calibri"/>
                <w:sz w:val="20"/>
                <w:szCs w:val="20"/>
              </w:rPr>
              <w:t>he popula</w:t>
            </w:r>
            <w:r w:rsidR="00E341B1" w:rsidRPr="00385B6C">
              <w:rPr>
                <w:rFonts w:eastAsia="Times New Roman" w:cs="Calibri"/>
                <w:sz w:val="20"/>
                <w:szCs w:val="20"/>
              </w:rPr>
              <w:t>tion is more diverse than usual</w:t>
            </w:r>
            <w:r w:rsidR="00441B1B" w:rsidRPr="00385B6C">
              <w:rPr>
                <w:rFonts w:eastAsia="Times New Roman" w:cs="Calibri"/>
                <w:sz w:val="20"/>
                <w:szCs w:val="20"/>
              </w:rPr>
              <w:t>, or t</w:t>
            </w:r>
            <w:r w:rsidRPr="00385B6C">
              <w:rPr>
                <w:rFonts w:eastAsia="Times New Roman" w:cs="Calibri"/>
                <w:sz w:val="20"/>
                <w:szCs w:val="20"/>
              </w:rPr>
              <w:t>he actual quantities distributed varied from those approved or planned.</w:t>
            </w:r>
          </w:p>
        </w:tc>
      </w:tr>
    </w:tbl>
    <w:p w:rsidR="000E6E93" w:rsidRPr="00D85E74" w:rsidRDefault="000E6E93" w:rsidP="006A7F3F">
      <w:pPr>
        <w:pStyle w:val="ListParagraph"/>
        <w:numPr>
          <w:ilvl w:val="0"/>
          <w:numId w:val="1"/>
        </w:numPr>
        <w:spacing w:before="0" w:after="200" w:line="252" w:lineRule="auto"/>
        <w:contextualSpacing w:val="0"/>
        <w:rPr>
          <w:rFonts w:eastAsia="Times New Roman" w:cs="Calibri"/>
        </w:rPr>
      </w:pPr>
      <w:r w:rsidRPr="00BE643B">
        <w:rPr>
          <w:rFonts w:eastAsia="Times New Roman" w:cs="Calibri"/>
          <w:b/>
        </w:rPr>
        <w:lastRenderedPageBreak/>
        <w:t>Monthly monitoring plans</w:t>
      </w:r>
      <w:r w:rsidRPr="00D85E74">
        <w:rPr>
          <w:rFonts w:eastAsia="Times New Roman" w:cs="Calibri"/>
        </w:rPr>
        <w:t xml:space="preserve"> detailing resources (people and time) and coverage (specific sites, recipients, or</w:t>
      </w:r>
      <w:r w:rsidR="00D63809">
        <w:rPr>
          <w:rFonts w:eastAsia="Times New Roman" w:cs="Calibri"/>
        </w:rPr>
        <w:t>,</w:t>
      </w:r>
      <w:r w:rsidRPr="00D85E74">
        <w:rPr>
          <w:rFonts w:eastAsia="Times New Roman" w:cs="Calibri"/>
        </w:rPr>
        <w:t xml:space="preserve"> if appli</w:t>
      </w:r>
      <w:r w:rsidR="00D63809">
        <w:rPr>
          <w:rFonts w:eastAsia="Times New Roman" w:cs="Calibri"/>
        </w:rPr>
        <w:t>cable, site storage facilities)</w:t>
      </w:r>
    </w:p>
    <w:p w:rsidR="000E6E93" w:rsidRPr="00D85E74" w:rsidRDefault="000E6E93" w:rsidP="006A7F3F">
      <w:pPr>
        <w:pStyle w:val="ListParagraph"/>
        <w:numPr>
          <w:ilvl w:val="0"/>
          <w:numId w:val="1"/>
        </w:numPr>
        <w:spacing w:before="0" w:after="200" w:line="252" w:lineRule="auto"/>
        <w:contextualSpacing w:val="0"/>
        <w:rPr>
          <w:rFonts w:eastAsia="Times New Roman" w:cs="Calibri"/>
        </w:rPr>
      </w:pPr>
      <w:r w:rsidRPr="00BE643B">
        <w:rPr>
          <w:rFonts w:eastAsia="Times New Roman" w:cs="Calibri"/>
          <w:b/>
        </w:rPr>
        <w:t>Standardized formats</w:t>
      </w:r>
      <w:r w:rsidRPr="00D85E74">
        <w:rPr>
          <w:rFonts w:eastAsia="Times New Roman" w:cs="Calibri"/>
        </w:rPr>
        <w:t xml:space="preserve"> to capture and rep</w:t>
      </w:r>
      <w:r w:rsidR="009A6913" w:rsidRPr="00D85E74">
        <w:rPr>
          <w:rFonts w:eastAsia="Times New Roman" w:cs="Calibri"/>
        </w:rPr>
        <w:t>ort all necessary information</w:t>
      </w:r>
      <w:r w:rsidR="00D63809">
        <w:rPr>
          <w:rFonts w:eastAsia="Times New Roman" w:cs="Calibri"/>
        </w:rPr>
        <w:t xml:space="preserve"> (e.g., </w:t>
      </w:r>
      <w:r w:rsidR="009A6913" w:rsidRPr="00BE643B">
        <w:rPr>
          <w:rFonts w:eastAsia="Times New Roman" w:cs="Calibri"/>
          <w:i/>
        </w:rPr>
        <w:t>Post</w:t>
      </w:r>
      <w:r w:rsidR="00D63809">
        <w:rPr>
          <w:rFonts w:eastAsia="Times New Roman" w:cs="Calibri"/>
          <w:i/>
        </w:rPr>
        <w:t>-</w:t>
      </w:r>
      <w:r w:rsidR="009A6913" w:rsidRPr="00BE643B">
        <w:rPr>
          <w:rFonts w:eastAsia="Times New Roman" w:cs="Calibri"/>
          <w:i/>
        </w:rPr>
        <w:t>Distribution Monitoring Questionnaire Template</w:t>
      </w:r>
      <w:r w:rsidR="00D63809" w:rsidRPr="00D63809">
        <w:rPr>
          <w:rFonts w:eastAsia="Times New Roman" w:cs="Calibri"/>
        </w:rPr>
        <w:t>)</w:t>
      </w:r>
      <w:r w:rsidR="009A6913" w:rsidRPr="00D85E74">
        <w:rPr>
          <w:rFonts w:eastAsia="Times New Roman" w:cs="Calibri"/>
        </w:rPr>
        <w:t xml:space="preserve">  </w:t>
      </w:r>
    </w:p>
    <w:p w:rsidR="000E6E93" w:rsidRPr="00D85E74" w:rsidRDefault="000E6E93" w:rsidP="006A7F3F">
      <w:pPr>
        <w:numPr>
          <w:ilvl w:val="0"/>
          <w:numId w:val="1"/>
        </w:numPr>
        <w:spacing w:before="0" w:after="200" w:line="252" w:lineRule="auto"/>
        <w:rPr>
          <w:rFonts w:eastAsia="Times New Roman" w:cs="Calibri"/>
        </w:rPr>
      </w:pPr>
      <w:r w:rsidRPr="00D85E74">
        <w:rPr>
          <w:rFonts w:eastAsia="Times New Roman" w:cs="Calibri"/>
        </w:rPr>
        <w:t xml:space="preserve">A </w:t>
      </w:r>
      <w:r w:rsidRPr="00BE643B">
        <w:rPr>
          <w:rFonts w:eastAsia="Times New Roman" w:cs="Calibri"/>
          <w:b/>
        </w:rPr>
        <w:t>system to track which locations have been monitored</w:t>
      </w:r>
      <w:r w:rsidRPr="00D85E74">
        <w:rPr>
          <w:rFonts w:eastAsia="Times New Roman" w:cs="Calibri"/>
        </w:rPr>
        <w:t>, and to ensure comp</w:t>
      </w:r>
      <w:r w:rsidR="00D63809">
        <w:rPr>
          <w:rFonts w:eastAsia="Times New Roman" w:cs="Calibri"/>
        </w:rPr>
        <w:t>leteness of monitoring coverage</w:t>
      </w:r>
    </w:p>
    <w:p w:rsidR="000E6E93" w:rsidRPr="00D85E74" w:rsidRDefault="000E6E93" w:rsidP="006A7F3F">
      <w:pPr>
        <w:numPr>
          <w:ilvl w:val="0"/>
          <w:numId w:val="1"/>
        </w:numPr>
        <w:spacing w:before="0" w:after="200" w:line="252" w:lineRule="auto"/>
        <w:rPr>
          <w:rFonts w:eastAsia="Times New Roman" w:cs="Calibri"/>
        </w:rPr>
      </w:pPr>
      <w:r w:rsidRPr="00BE643B">
        <w:rPr>
          <w:rFonts w:eastAsia="Times New Roman" w:cs="Calibri"/>
          <w:b/>
        </w:rPr>
        <w:t>Information technology</w:t>
      </w:r>
      <w:r w:rsidRPr="00D85E74">
        <w:rPr>
          <w:rFonts w:eastAsia="Times New Roman" w:cs="Calibri"/>
        </w:rPr>
        <w:t xml:space="preserve"> to use i</w:t>
      </w:r>
      <w:r w:rsidR="00D63809">
        <w:rPr>
          <w:rFonts w:eastAsia="Times New Roman" w:cs="Calibri"/>
        </w:rPr>
        <w:t>n capturing and processing data</w:t>
      </w:r>
    </w:p>
    <w:p w:rsidR="00030F9B" w:rsidRPr="00D85E74" w:rsidRDefault="000E6E93" w:rsidP="006A7F3F">
      <w:pPr>
        <w:numPr>
          <w:ilvl w:val="0"/>
          <w:numId w:val="1"/>
        </w:numPr>
        <w:tabs>
          <w:tab w:val="clear" w:pos="360"/>
          <w:tab w:val="num" w:pos="1080"/>
        </w:tabs>
        <w:spacing w:before="0" w:after="200" w:line="252" w:lineRule="auto"/>
        <w:rPr>
          <w:rFonts w:eastAsia="Times New Roman" w:cs="Calibri"/>
        </w:rPr>
      </w:pPr>
      <w:r w:rsidRPr="00D85E74">
        <w:rPr>
          <w:rFonts w:eastAsia="Times New Roman" w:cs="Calibri"/>
        </w:rPr>
        <w:t xml:space="preserve">Specific </w:t>
      </w:r>
      <w:r w:rsidRPr="00BE643B">
        <w:rPr>
          <w:rFonts w:eastAsia="Times New Roman" w:cs="Calibri"/>
          <w:b/>
        </w:rPr>
        <w:t xml:space="preserve">procedures on how the monitoring </w:t>
      </w:r>
      <w:r w:rsidR="000044EF" w:rsidRPr="00BE643B">
        <w:rPr>
          <w:rFonts w:eastAsia="Times New Roman" w:cs="Calibri"/>
          <w:b/>
        </w:rPr>
        <w:t>data will be analyzed</w:t>
      </w:r>
      <w:r w:rsidRPr="00BE643B">
        <w:rPr>
          <w:rFonts w:eastAsia="Times New Roman" w:cs="Calibri"/>
          <w:b/>
        </w:rPr>
        <w:t>, interpret</w:t>
      </w:r>
      <w:r w:rsidR="000044EF" w:rsidRPr="00BE643B">
        <w:rPr>
          <w:rFonts w:eastAsia="Times New Roman" w:cs="Calibri"/>
          <w:b/>
        </w:rPr>
        <w:t>ed</w:t>
      </w:r>
      <w:r w:rsidR="00D85E74" w:rsidRPr="00BE643B">
        <w:rPr>
          <w:rFonts w:eastAsia="Times New Roman" w:cs="Calibri"/>
          <w:b/>
        </w:rPr>
        <w:t>,</w:t>
      </w:r>
      <w:r w:rsidR="000044EF" w:rsidRPr="00BE643B">
        <w:rPr>
          <w:rFonts w:eastAsia="Times New Roman" w:cs="Calibri"/>
          <w:b/>
        </w:rPr>
        <w:t xml:space="preserve"> and used</w:t>
      </w:r>
      <w:r w:rsidRPr="00D85E74">
        <w:rPr>
          <w:rFonts w:eastAsia="Times New Roman" w:cs="Calibri"/>
        </w:rPr>
        <w:t>.</w:t>
      </w:r>
      <w:r w:rsidR="000044EF" w:rsidRPr="00D85E74">
        <w:rPr>
          <w:rFonts w:eastAsia="Times New Roman" w:cs="Calibri"/>
        </w:rPr>
        <w:t xml:space="preserve"> Remember, the overall </w:t>
      </w:r>
      <w:r w:rsidR="00AB270D" w:rsidRPr="00D85E74">
        <w:rPr>
          <w:rFonts w:eastAsia="Times New Roman" w:cs="Calibri"/>
        </w:rPr>
        <w:t>goal</w:t>
      </w:r>
      <w:r w:rsidR="000044EF" w:rsidRPr="00D85E74">
        <w:rPr>
          <w:rFonts w:eastAsia="Times New Roman" w:cs="Calibri"/>
        </w:rPr>
        <w:t xml:space="preserve"> of monitoring is to enable management to take necessary and timely action to en</w:t>
      </w:r>
      <w:r w:rsidR="00090CF5" w:rsidRPr="00D85E74">
        <w:rPr>
          <w:rFonts w:eastAsia="Times New Roman" w:cs="Calibri"/>
        </w:rPr>
        <w:t>sure eligible</w:t>
      </w:r>
      <w:r w:rsidR="00030F9B" w:rsidRPr="00D85E74">
        <w:rPr>
          <w:rFonts w:eastAsia="Times New Roman" w:cs="Calibri"/>
        </w:rPr>
        <w:t xml:space="preserve"> </w:t>
      </w:r>
      <w:r w:rsidR="00090CF5" w:rsidRPr="00D85E74">
        <w:rPr>
          <w:rFonts w:eastAsia="Times New Roman" w:cs="Calibri"/>
        </w:rPr>
        <w:t xml:space="preserve">recipients </w:t>
      </w:r>
      <w:r w:rsidR="00030F9B" w:rsidRPr="00D85E74">
        <w:rPr>
          <w:rFonts w:eastAsia="Times New Roman" w:cs="Calibri"/>
        </w:rPr>
        <w:t>receiv</w:t>
      </w:r>
      <w:r w:rsidR="00090CF5" w:rsidRPr="00D85E74">
        <w:rPr>
          <w:rFonts w:eastAsia="Times New Roman" w:cs="Calibri"/>
        </w:rPr>
        <w:t>e</w:t>
      </w:r>
      <w:r w:rsidR="00030F9B" w:rsidRPr="00D85E74">
        <w:rPr>
          <w:rFonts w:eastAsia="Times New Roman" w:cs="Calibri"/>
        </w:rPr>
        <w:t xml:space="preserve"> their intended commodity</w:t>
      </w:r>
      <w:r w:rsidR="00090CF5" w:rsidRPr="00D85E74">
        <w:rPr>
          <w:rFonts w:eastAsia="Times New Roman" w:cs="Calibri"/>
        </w:rPr>
        <w:t xml:space="preserve"> rations.</w:t>
      </w:r>
    </w:p>
    <w:p w:rsidR="000E6E93" w:rsidRPr="006A7F3F" w:rsidRDefault="000E6E93" w:rsidP="006A7F3F">
      <w:pPr>
        <w:numPr>
          <w:ilvl w:val="0"/>
          <w:numId w:val="1"/>
        </w:numPr>
        <w:spacing w:before="0" w:after="200" w:line="252" w:lineRule="auto"/>
        <w:rPr>
          <w:rFonts w:eastAsia="Times New Roman" w:cs="Calibri"/>
        </w:rPr>
      </w:pPr>
      <w:r w:rsidRPr="00D85E74">
        <w:rPr>
          <w:rFonts w:eastAsia="Times New Roman" w:cs="Calibri"/>
        </w:rPr>
        <w:t xml:space="preserve">Supervisory or </w:t>
      </w:r>
      <w:r w:rsidRPr="00BE643B">
        <w:rPr>
          <w:rFonts w:eastAsia="Times New Roman" w:cs="Calibri"/>
          <w:b/>
        </w:rPr>
        <w:t>independe</w:t>
      </w:r>
      <w:r w:rsidR="00463700" w:rsidRPr="00BE643B">
        <w:rPr>
          <w:rFonts w:eastAsia="Times New Roman" w:cs="Calibri"/>
          <w:b/>
        </w:rPr>
        <w:t>nt re-performance of monitoring</w:t>
      </w:r>
      <w:r w:rsidR="00463700" w:rsidRPr="00D85E74">
        <w:rPr>
          <w:rFonts w:eastAsia="Times New Roman" w:cs="Calibri"/>
        </w:rPr>
        <w:t>, such</w:t>
      </w:r>
      <w:r w:rsidR="00463700" w:rsidRPr="006A7F3F">
        <w:rPr>
          <w:rFonts w:eastAsia="Times New Roman" w:cs="Calibri"/>
        </w:rPr>
        <w:t xml:space="preserve"> as</w:t>
      </w:r>
      <w:r w:rsidRPr="006A7F3F">
        <w:rPr>
          <w:rFonts w:eastAsia="Times New Roman" w:cs="Calibri"/>
        </w:rPr>
        <w:t xml:space="preserve"> re-performing calculations in the </w:t>
      </w:r>
      <w:r w:rsidR="00D85E74">
        <w:rPr>
          <w:rFonts w:eastAsia="Times New Roman" w:cs="Calibri"/>
        </w:rPr>
        <w:t>d</w:t>
      </w:r>
      <w:r w:rsidRPr="006A7F3F">
        <w:rPr>
          <w:rFonts w:eastAsia="Times New Roman" w:cs="Calibri"/>
        </w:rPr>
        <w:t xml:space="preserve">istribution </w:t>
      </w:r>
      <w:r w:rsidR="00D85E74">
        <w:rPr>
          <w:rFonts w:eastAsia="Times New Roman" w:cs="Calibri"/>
        </w:rPr>
        <w:t>s</w:t>
      </w:r>
      <w:r w:rsidRPr="006A7F3F">
        <w:rPr>
          <w:rFonts w:eastAsia="Times New Roman" w:cs="Calibri"/>
        </w:rPr>
        <w:t xml:space="preserve">ite </w:t>
      </w:r>
      <w:r w:rsidR="00D85E74">
        <w:rPr>
          <w:rFonts w:eastAsia="Times New Roman" w:cs="Calibri"/>
        </w:rPr>
        <w:t>r</w:t>
      </w:r>
      <w:r w:rsidRPr="006A7F3F">
        <w:rPr>
          <w:rFonts w:eastAsia="Times New Roman" w:cs="Calibri"/>
        </w:rPr>
        <w:t>eports</w:t>
      </w:r>
      <w:r w:rsidR="00463700" w:rsidRPr="006A7F3F">
        <w:rPr>
          <w:rFonts w:eastAsia="Times New Roman" w:cs="Calibri"/>
        </w:rPr>
        <w:t>, or re-interviewing recipients and confirming their responses</w:t>
      </w:r>
      <w:r w:rsidR="00090CF5" w:rsidRPr="006A7F3F">
        <w:rPr>
          <w:rFonts w:eastAsia="Times New Roman" w:cs="Calibri"/>
        </w:rPr>
        <w:t>.</w:t>
      </w:r>
      <w:r w:rsidRPr="006A7F3F">
        <w:rPr>
          <w:rFonts w:eastAsia="Times New Roman" w:cs="Calibri"/>
        </w:rPr>
        <w:t xml:space="preserve"> </w:t>
      </w:r>
    </w:p>
    <w:p w:rsidR="00463700" w:rsidRPr="00D85E74" w:rsidRDefault="000E6E93" w:rsidP="006A7F3F">
      <w:pPr>
        <w:numPr>
          <w:ilvl w:val="0"/>
          <w:numId w:val="1"/>
        </w:numPr>
        <w:spacing w:before="0" w:after="200" w:line="252" w:lineRule="auto"/>
        <w:rPr>
          <w:rFonts w:eastAsia="Times New Roman" w:cs="Calibri"/>
        </w:rPr>
      </w:pPr>
      <w:r w:rsidRPr="00BE643B">
        <w:rPr>
          <w:rFonts w:eastAsia="Times New Roman" w:cs="Calibri"/>
          <w:b/>
        </w:rPr>
        <w:t xml:space="preserve">Review of recipient </w:t>
      </w:r>
      <w:r w:rsidR="00D85E74" w:rsidRPr="00BE643B">
        <w:rPr>
          <w:rFonts w:eastAsia="Times New Roman" w:cs="Calibri"/>
          <w:b/>
        </w:rPr>
        <w:t xml:space="preserve">feedback and </w:t>
      </w:r>
      <w:r w:rsidRPr="00BE643B">
        <w:rPr>
          <w:rFonts w:eastAsia="Times New Roman" w:cs="Calibri"/>
          <w:b/>
        </w:rPr>
        <w:t>complaints</w:t>
      </w:r>
      <w:r w:rsidRPr="00D85E74">
        <w:rPr>
          <w:rFonts w:eastAsia="Times New Roman" w:cs="Calibri"/>
        </w:rPr>
        <w:t xml:space="preserve"> </w:t>
      </w:r>
      <w:r w:rsidR="00D63809">
        <w:rPr>
          <w:rFonts w:eastAsia="Times New Roman" w:cs="Calibri"/>
        </w:rPr>
        <w:t>and steps taken to address them</w:t>
      </w:r>
    </w:p>
    <w:p w:rsidR="00A316E8" w:rsidRPr="0097549A" w:rsidRDefault="00D85E74" w:rsidP="006A7F3F">
      <w:pPr>
        <w:numPr>
          <w:ilvl w:val="0"/>
          <w:numId w:val="1"/>
        </w:numPr>
        <w:spacing w:before="0" w:after="200" w:line="252" w:lineRule="auto"/>
        <w:rPr>
          <w:rFonts w:eastAsia="Times New Roman" w:cs="Calibri"/>
        </w:rPr>
      </w:pPr>
      <w:r w:rsidRPr="0097549A">
        <w:rPr>
          <w:rFonts w:eastAsia="Times New Roman" w:cs="Calibri"/>
        </w:rPr>
        <w:t>Documented f</w:t>
      </w:r>
      <w:r w:rsidR="00A316E8" w:rsidRPr="0097549A">
        <w:rPr>
          <w:rFonts w:eastAsia="Times New Roman" w:cs="Calibri"/>
        </w:rPr>
        <w:t xml:space="preserve">ood </w:t>
      </w:r>
      <w:r w:rsidRPr="0097549A">
        <w:rPr>
          <w:rFonts w:eastAsia="Times New Roman" w:cs="Calibri"/>
        </w:rPr>
        <w:t>d</w:t>
      </w:r>
      <w:r w:rsidR="00A316E8" w:rsidRPr="0097549A">
        <w:rPr>
          <w:rFonts w:eastAsia="Times New Roman" w:cs="Calibri"/>
        </w:rPr>
        <w:t xml:space="preserve">istribution </w:t>
      </w:r>
      <w:r w:rsidRPr="00BE643B">
        <w:rPr>
          <w:rFonts w:eastAsia="Times New Roman" w:cs="Calibri"/>
          <w:b/>
        </w:rPr>
        <w:t>m</w:t>
      </w:r>
      <w:r w:rsidR="00A316E8" w:rsidRPr="00BE643B">
        <w:rPr>
          <w:rFonts w:eastAsia="Times New Roman" w:cs="Calibri"/>
          <w:b/>
        </w:rPr>
        <w:t xml:space="preserve">onitoring </w:t>
      </w:r>
      <w:r w:rsidRPr="00BE643B">
        <w:rPr>
          <w:rFonts w:eastAsia="Times New Roman" w:cs="Calibri"/>
          <w:b/>
        </w:rPr>
        <w:t>i</w:t>
      </w:r>
      <w:r w:rsidR="00A316E8" w:rsidRPr="00BE643B">
        <w:rPr>
          <w:rFonts w:eastAsia="Times New Roman" w:cs="Calibri"/>
          <w:b/>
        </w:rPr>
        <w:t xml:space="preserve">nformation </w:t>
      </w:r>
      <w:r w:rsidRPr="00BE643B">
        <w:rPr>
          <w:rFonts w:eastAsia="Times New Roman" w:cs="Calibri"/>
          <w:b/>
        </w:rPr>
        <w:t>f</w:t>
      </w:r>
      <w:r w:rsidR="00A316E8" w:rsidRPr="00BE643B">
        <w:rPr>
          <w:rFonts w:eastAsia="Times New Roman" w:cs="Calibri"/>
          <w:b/>
        </w:rPr>
        <w:t>low</w:t>
      </w:r>
      <w:r w:rsidR="00A316E8" w:rsidRPr="0097549A">
        <w:rPr>
          <w:rFonts w:eastAsia="Times New Roman" w:cs="Calibri"/>
        </w:rPr>
        <w:t xml:space="preserve"> </w:t>
      </w:r>
      <w:r w:rsidRPr="0097549A">
        <w:rPr>
          <w:rFonts w:eastAsia="Times New Roman" w:cs="Calibri"/>
        </w:rPr>
        <w:t>that details who is responsible for each of t</w:t>
      </w:r>
      <w:r w:rsidR="00D63809">
        <w:rPr>
          <w:rFonts w:eastAsia="Times New Roman" w:cs="Calibri"/>
        </w:rPr>
        <w:t>he activities illustrated below</w:t>
      </w:r>
    </w:p>
    <w:p w:rsidR="00A316E8" w:rsidRPr="00A316E8" w:rsidRDefault="00A316E8" w:rsidP="00A316E8">
      <w:pPr>
        <w:rPr>
          <w:rFonts w:eastAsia="Times New Roman" w:cs="Calibri"/>
        </w:rPr>
      </w:pPr>
      <w:r w:rsidRPr="00A316E8">
        <w:rPr>
          <w:rFonts w:eastAsia="Times New Roman" w:cs="Calibri"/>
          <w:noProof/>
        </w:rPr>
        <w:drawing>
          <wp:inline distT="0" distB="0" distL="0" distR="0">
            <wp:extent cx="4846320" cy="2827020"/>
            <wp:effectExtent l="0" t="0" r="0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A316E8" w:rsidRPr="00A316E8" w:rsidRDefault="00A316E8" w:rsidP="00A316E8">
      <w:pPr>
        <w:rPr>
          <w:rFonts w:eastAsia="Times New Roman" w:cs="Calibri"/>
          <w:b/>
          <w:bCs/>
          <w:iCs/>
        </w:rPr>
      </w:pPr>
    </w:p>
    <w:p w:rsidR="00A316E8" w:rsidRPr="00BB7071" w:rsidRDefault="00D63809" w:rsidP="0097549A">
      <w:pPr>
        <w:spacing w:before="0" w:after="200" w:line="252" w:lineRule="auto"/>
        <w:ind w:left="360"/>
        <w:rPr>
          <w:rFonts w:eastAsia="Times New Roman" w:cs="Calibri"/>
          <w:b/>
          <w:bCs/>
          <w:iCs/>
        </w:rPr>
      </w:pPr>
      <w:r>
        <w:rPr>
          <w:rFonts w:eastAsia="Times New Roman" w:cs="Calibri"/>
          <w:b/>
          <w:bCs/>
          <w:iCs/>
        </w:rPr>
        <w:t>Pointers on i</w:t>
      </w:r>
      <w:r w:rsidR="00A316E8" w:rsidRPr="00BB7071">
        <w:rPr>
          <w:rFonts w:eastAsia="Times New Roman" w:cs="Calibri"/>
          <w:b/>
          <w:bCs/>
          <w:iCs/>
        </w:rPr>
        <w:t>nvolv</w:t>
      </w:r>
      <w:r>
        <w:rPr>
          <w:rFonts w:eastAsia="Times New Roman" w:cs="Calibri"/>
          <w:b/>
          <w:bCs/>
          <w:iCs/>
        </w:rPr>
        <w:t>ing</w:t>
      </w:r>
      <w:r w:rsidR="00A316E8" w:rsidRPr="00BB7071">
        <w:rPr>
          <w:rFonts w:eastAsia="Times New Roman" w:cs="Calibri"/>
          <w:b/>
          <w:bCs/>
          <w:iCs/>
        </w:rPr>
        <w:t xml:space="preserve"> </w:t>
      </w:r>
      <w:r>
        <w:rPr>
          <w:rFonts w:eastAsia="Times New Roman" w:cs="Calibri"/>
          <w:b/>
          <w:bCs/>
          <w:iCs/>
        </w:rPr>
        <w:t>a</w:t>
      </w:r>
      <w:r w:rsidR="00A316E8" w:rsidRPr="00BB7071">
        <w:rPr>
          <w:rFonts w:eastAsia="Times New Roman" w:cs="Calibri"/>
          <w:b/>
          <w:bCs/>
          <w:iCs/>
        </w:rPr>
        <w:t xml:space="preserve">ll </w:t>
      </w:r>
      <w:r>
        <w:rPr>
          <w:rFonts w:eastAsia="Times New Roman" w:cs="Calibri"/>
          <w:b/>
          <w:bCs/>
          <w:iCs/>
        </w:rPr>
        <w:t>s</w:t>
      </w:r>
      <w:r w:rsidR="00A316E8" w:rsidRPr="00BB7071">
        <w:rPr>
          <w:rFonts w:eastAsia="Times New Roman" w:cs="Calibri"/>
          <w:b/>
          <w:bCs/>
          <w:iCs/>
        </w:rPr>
        <w:t xml:space="preserve">takeholders in the </w:t>
      </w:r>
      <w:r>
        <w:rPr>
          <w:rFonts w:eastAsia="Times New Roman" w:cs="Calibri"/>
          <w:b/>
          <w:bCs/>
          <w:iCs/>
        </w:rPr>
        <w:t>p</w:t>
      </w:r>
      <w:r w:rsidR="00A316E8" w:rsidRPr="00BB7071">
        <w:rPr>
          <w:rFonts w:eastAsia="Times New Roman" w:cs="Calibri"/>
          <w:b/>
          <w:bCs/>
          <w:iCs/>
        </w:rPr>
        <w:t xml:space="preserve">rocess: </w:t>
      </w:r>
    </w:p>
    <w:p w:rsidR="00A316E8" w:rsidRPr="0097549A" w:rsidRDefault="00A316E8" w:rsidP="0097549A">
      <w:pPr>
        <w:pStyle w:val="ListParagraph"/>
        <w:numPr>
          <w:ilvl w:val="0"/>
          <w:numId w:val="9"/>
        </w:numPr>
        <w:spacing w:before="0" w:after="200" w:line="252" w:lineRule="auto"/>
        <w:ind w:left="720"/>
        <w:rPr>
          <w:rFonts w:eastAsia="Times New Roman" w:cs="Calibri"/>
          <w:iCs/>
        </w:rPr>
      </w:pPr>
      <w:r w:rsidRPr="0097549A">
        <w:rPr>
          <w:rFonts w:eastAsia="Times New Roman" w:cs="Calibri"/>
        </w:rPr>
        <w:t xml:space="preserve">Develop simple </w:t>
      </w:r>
      <w:r w:rsidR="0097549A" w:rsidRPr="0097549A">
        <w:rPr>
          <w:rFonts w:eastAsia="Times New Roman" w:cs="Calibri"/>
        </w:rPr>
        <w:t xml:space="preserve">monitoring report </w:t>
      </w:r>
      <w:r w:rsidRPr="0097549A">
        <w:rPr>
          <w:rFonts w:eastAsia="Times New Roman" w:cs="Calibri"/>
        </w:rPr>
        <w:t xml:space="preserve">formats adapted to the local context to </w:t>
      </w:r>
      <w:r w:rsidRPr="0097549A">
        <w:rPr>
          <w:rFonts w:eastAsia="Times New Roman" w:cs="Calibri"/>
          <w:iCs/>
        </w:rPr>
        <w:t>provide concise summaries of key conclusions.</w:t>
      </w:r>
    </w:p>
    <w:p w:rsidR="0097549A" w:rsidRPr="0097549A" w:rsidRDefault="0097549A" w:rsidP="0097549A">
      <w:pPr>
        <w:pStyle w:val="ListParagraph"/>
        <w:numPr>
          <w:ilvl w:val="0"/>
          <w:numId w:val="9"/>
        </w:numPr>
        <w:spacing w:before="0" w:after="200" w:line="252" w:lineRule="auto"/>
        <w:ind w:left="720"/>
        <w:rPr>
          <w:rFonts w:eastAsia="Times New Roman" w:cs="Calibri"/>
          <w:iCs/>
        </w:rPr>
      </w:pPr>
      <w:r w:rsidRPr="0097549A">
        <w:rPr>
          <w:rFonts w:eastAsia="Times New Roman" w:cs="Calibri"/>
          <w:iCs/>
        </w:rPr>
        <w:t>Allow stakeholders to make recommendations–or raise objections</w:t>
      </w:r>
      <w:r w:rsidR="0073486D">
        <w:rPr>
          <w:rFonts w:eastAsia="Times New Roman" w:cs="Calibri"/>
          <w:iCs/>
        </w:rPr>
        <w:t>,</w:t>
      </w:r>
      <w:r w:rsidRPr="0097549A">
        <w:rPr>
          <w:rFonts w:eastAsia="Times New Roman" w:cs="Calibri"/>
          <w:iCs/>
        </w:rPr>
        <w:t xml:space="preserve"> if reporte</w:t>
      </w:r>
      <w:r w:rsidR="00BE643B">
        <w:rPr>
          <w:rFonts w:eastAsia="Times New Roman" w:cs="Calibri"/>
          <w:iCs/>
        </w:rPr>
        <w:t>d</w:t>
      </w:r>
      <w:r w:rsidRPr="0097549A">
        <w:rPr>
          <w:rFonts w:eastAsia="Times New Roman" w:cs="Calibri"/>
          <w:iCs/>
        </w:rPr>
        <w:t xml:space="preserve"> information is not accurate. </w:t>
      </w:r>
    </w:p>
    <w:p w:rsidR="00A316E8" w:rsidRPr="0097549A" w:rsidRDefault="00A316E8" w:rsidP="0097549A">
      <w:pPr>
        <w:pStyle w:val="ListParagraph"/>
        <w:numPr>
          <w:ilvl w:val="0"/>
          <w:numId w:val="9"/>
        </w:numPr>
        <w:spacing w:before="0" w:after="200" w:line="252" w:lineRule="auto"/>
        <w:ind w:left="720"/>
        <w:rPr>
          <w:rFonts w:eastAsia="Times New Roman" w:cs="Calibri"/>
        </w:rPr>
      </w:pPr>
      <w:r w:rsidRPr="0097549A">
        <w:rPr>
          <w:rFonts w:eastAsia="Times New Roman" w:cs="Calibri"/>
        </w:rPr>
        <w:t xml:space="preserve">Use local media and community structures to disseminate relevant information to recipients (including illiterate audiences). </w:t>
      </w:r>
    </w:p>
    <w:p w:rsidR="00A316E8" w:rsidRPr="0097549A" w:rsidRDefault="00A316E8" w:rsidP="0097549A">
      <w:pPr>
        <w:pStyle w:val="ListParagraph"/>
        <w:numPr>
          <w:ilvl w:val="0"/>
          <w:numId w:val="9"/>
        </w:numPr>
        <w:spacing w:before="0" w:after="200" w:line="252" w:lineRule="auto"/>
        <w:ind w:left="720"/>
        <w:rPr>
          <w:rFonts w:eastAsia="Times New Roman" w:cs="Calibri"/>
        </w:rPr>
      </w:pPr>
      <w:r w:rsidRPr="0097549A">
        <w:rPr>
          <w:rFonts w:eastAsia="Times New Roman" w:cs="Calibri"/>
        </w:rPr>
        <w:t>Give regular updates</w:t>
      </w:r>
      <w:r w:rsidR="0073486D">
        <w:rPr>
          <w:rFonts w:eastAsia="Times New Roman" w:cs="Calibri"/>
        </w:rPr>
        <w:t>,</w:t>
      </w:r>
      <w:r w:rsidRPr="0097549A">
        <w:rPr>
          <w:rFonts w:eastAsia="Times New Roman" w:cs="Calibri"/>
        </w:rPr>
        <w:t xml:space="preserve"> and take a sensitive approach that encourages people to ask questions and speak out.</w:t>
      </w:r>
    </w:p>
    <w:p w:rsidR="00921BC7" w:rsidRPr="0097549A" w:rsidRDefault="00921BC7" w:rsidP="0097549A">
      <w:pPr>
        <w:spacing w:before="0" w:after="200" w:line="252" w:lineRule="auto"/>
        <w:rPr>
          <w:color w:val="237990"/>
        </w:rPr>
      </w:pPr>
      <w:r w:rsidRPr="0097549A">
        <w:rPr>
          <w:rFonts w:ascii="Calibri" w:eastAsia="Times New Roman" w:hAnsi="Calibri" w:cs="Calibri"/>
          <w:b/>
          <w:color w:val="237990"/>
          <w:sz w:val="24"/>
          <w:szCs w:val="24"/>
        </w:rPr>
        <w:lastRenderedPageBreak/>
        <w:t>Food Monitors</w:t>
      </w:r>
    </w:p>
    <w:p w:rsidR="00921BC7" w:rsidRPr="006742F5" w:rsidRDefault="00921BC7" w:rsidP="0097549A">
      <w:pPr>
        <w:spacing w:before="0" w:after="200" w:line="252" w:lineRule="auto"/>
        <w:rPr>
          <w:rFonts w:eastAsia="Times New Roman" w:cs="Times New Roman"/>
        </w:rPr>
      </w:pPr>
      <w:r w:rsidRPr="009E67E9">
        <w:t xml:space="preserve">The primary role of a </w:t>
      </w:r>
      <w:r w:rsidRPr="001A139C">
        <w:t>food monitor</w:t>
      </w:r>
      <w:r w:rsidRPr="009E67E9">
        <w:t xml:space="preserve"> is to verify compliance with the Awardee and FFP program requirements and accountability standards.</w:t>
      </w:r>
      <w:r w:rsidRPr="006742F5">
        <w:rPr>
          <w:rFonts w:eastAsia="Times New Roman" w:cs="Times New Roman"/>
        </w:rPr>
        <w:t xml:space="preserve"> </w:t>
      </w:r>
    </w:p>
    <w:p w:rsidR="00921BC7" w:rsidRPr="0097549A" w:rsidRDefault="00921BC7" w:rsidP="0097549A">
      <w:pPr>
        <w:pStyle w:val="ListParagraph"/>
        <w:numPr>
          <w:ilvl w:val="0"/>
          <w:numId w:val="2"/>
        </w:numPr>
        <w:spacing w:before="0" w:after="200" w:line="252" w:lineRule="auto"/>
        <w:contextualSpacing w:val="0"/>
        <w:rPr>
          <w:rFonts w:eastAsia="Times New Roman" w:cs="Times New Roman"/>
        </w:rPr>
      </w:pPr>
      <w:r w:rsidRPr="006742F5">
        <w:t xml:space="preserve">To ensure segregation of duties, </w:t>
      </w:r>
      <w:r>
        <w:t>food</w:t>
      </w:r>
      <w:r w:rsidRPr="006742F5">
        <w:t xml:space="preserve"> monitors </w:t>
      </w:r>
      <w:r w:rsidR="002970B8">
        <w:t>must</w:t>
      </w:r>
      <w:r w:rsidRPr="006742F5">
        <w:t xml:space="preserve"> </w:t>
      </w:r>
      <w:r w:rsidRPr="00BE643B">
        <w:rPr>
          <w:b/>
        </w:rPr>
        <w:t>not</w:t>
      </w:r>
      <w:r w:rsidRPr="006742F5">
        <w:t xml:space="preserve"> </w:t>
      </w:r>
      <w:r w:rsidR="002970B8">
        <w:t xml:space="preserve">be </w:t>
      </w:r>
      <w:r w:rsidRPr="006742F5">
        <w:t>the same staff responsible for selecting or registering recipients</w:t>
      </w:r>
      <w:r w:rsidR="002970B8">
        <w:t>,</w:t>
      </w:r>
      <w:r w:rsidRPr="006742F5">
        <w:t xml:space="preserve"> or for managing or supervising the receipt, storage</w:t>
      </w:r>
      <w:r w:rsidR="000D27B5">
        <w:t>,</w:t>
      </w:r>
      <w:r w:rsidRPr="006742F5">
        <w:t xml:space="preserve"> or dispatch of commodity.</w:t>
      </w:r>
      <w:r w:rsidR="0097549A">
        <w:t xml:space="preserve"> </w:t>
      </w:r>
      <w:r w:rsidRPr="0097549A">
        <w:rPr>
          <w:rFonts w:eastAsia="Times New Roman" w:cs="Calibri"/>
        </w:rPr>
        <w:t>Food monitoring should be a part of the program M &amp; E Unit (or equivalent).</w:t>
      </w:r>
    </w:p>
    <w:p w:rsidR="00921BC7" w:rsidRDefault="00921BC7" w:rsidP="0097549A">
      <w:pPr>
        <w:pStyle w:val="ListParagraph"/>
        <w:numPr>
          <w:ilvl w:val="0"/>
          <w:numId w:val="2"/>
        </w:numPr>
        <w:spacing w:before="0" w:after="200" w:line="252" w:lineRule="auto"/>
        <w:contextualSpacing w:val="0"/>
        <w:rPr>
          <w:rFonts w:eastAsia="Times New Roman" w:cs="Times New Roman"/>
        </w:rPr>
      </w:pPr>
      <w:r w:rsidRPr="006742F5">
        <w:rPr>
          <w:rFonts w:eastAsia="Times New Roman" w:cs="Times New Roman"/>
        </w:rPr>
        <w:t xml:space="preserve">Assign </w:t>
      </w:r>
      <w:r>
        <w:rPr>
          <w:rFonts w:eastAsia="Times New Roman" w:cs="Times New Roman"/>
        </w:rPr>
        <w:t>food</w:t>
      </w:r>
      <w:r w:rsidRPr="006742F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m</w:t>
      </w:r>
      <w:r w:rsidRPr="006742F5">
        <w:rPr>
          <w:rFonts w:eastAsia="Times New Roman" w:cs="Times New Roman"/>
        </w:rPr>
        <w:t>onitors to particular regions or sets of distribution sites</w:t>
      </w:r>
      <w:r w:rsidR="0097549A">
        <w:rPr>
          <w:rFonts w:eastAsia="Times New Roman" w:cs="Times New Roman"/>
        </w:rPr>
        <w:t>,</w:t>
      </w:r>
      <w:r w:rsidRPr="006742F5">
        <w:rPr>
          <w:rFonts w:eastAsia="Times New Roman" w:cs="Times New Roman"/>
        </w:rPr>
        <w:t xml:space="preserve"> yet </w:t>
      </w:r>
      <w:r w:rsidRPr="00BE643B">
        <w:rPr>
          <w:rFonts w:eastAsia="Times New Roman" w:cs="Times New Roman"/>
          <w:b/>
        </w:rPr>
        <w:t>periodically rotate monitor assignments</w:t>
      </w:r>
      <w:r w:rsidRPr="006742F5">
        <w:rPr>
          <w:rFonts w:eastAsia="Times New Roman" w:cs="Times New Roman"/>
        </w:rPr>
        <w:t xml:space="preserve"> across regions or sites.</w:t>
      </w:r>
      <w:r>
        <w:rPr>
          <w:rFonts w:eastAsia="Times New Roman" w:cs="Times New Roman"/>
        </w:rPr>
        <w:t xml:space="preserve"> This will reduce</w:t>
      </w:r>
      <w:r w:rsidR="0097549A">
        <w:rPr>
          <w:rFonts w:eastAsia="Times New Roman" w:cs="Times New Roman"/>
        </w:rPr>
        <w:t xml:space="preserve"> the potential for corruption.</w:t>
      </w:r>
    </w:p>
    <w:p w:rsidR="00921BC7" w:rsidRPr="006742F5" w:rsidRDefault="00921BC7" w:rsidP="0097549A">
      <w:pPr>
        <w:pStyle w:val="ListParagraph"/>
        <w:numPr>
          <w:ilvl w:val="0"/>
          <w:numId w:val="2"/>
        </w:numPr>
        <w:spacing w:before="0" w:after="200" w:line="252" w:lineRule="auto"/>
        <w:contextualSpacing w:val="0"/>
        <w:rPr>
          <w:rFonts w:eastAsia="Times New Roman" w:cs="Times New Roman"/>
        </w:rPr>
      </w:pPr>
      <w:r w:rsidRPr="00A81DFF">
        <w:rPr>
          <w:rFonts w:eastAsia="Times New Roman" w:cs="Arial"/>
        </w:rPr>
        <w:t xml:space="preserve">Both male and female food monitors should be </w:t>
      </w:r>
      <w:r>
        <w:rPr>
          <w:rFonts w:eastAsia="Times New Roman" w:cs="Arial"/>
        </w:rPr>
        <w:t>available</w:t>
      </w:r>
      <w:r w:rsidRPr="00A81DFF">
        <w:rPr>
          <w:rFonts w:eastAsia="Times New Roman" w:cs="Arial"/>
        </w:rPr>
        <w:t xml:space="preserve"> to ensure </w:t>
      </w:r>
      <w:r w:rsidR="000D27B5">
        <w:rPr>
          <w:rFonts w:eastAsia="Times New Roman" w:cs="Arial"/>
        </w:rPr>
        <w:t xml:space="preserve">that </w:t>
      </w:r>
      <w:r w:rsidRPr="00A81DFF">
        <w:rPr>
          <w:rFonts w:eastAsia="Times New Roman" w:cs="Arial"/>
        </w:rPr>
        <w:t xml:space="preserve">interviews are conducted by members of the same sex as </w:t>
      </w:r>
      <w:r>
        <w:rPr>
          <w:rFonts w:eastAsia="Times New Roman" w:cs="Arial"/>
        </w:rPr>
        <w:t>recipient</w:t>
      </w:r>
      <w:r w:rsidRPr="00A81DFF">
        <w:rPr>
          <w:rFonts w:eastAsia="Times New Roman" w:cs="Arial"/>
        </w:rPr>
        <w:t>s, if appropriate.</w:t>
      </w:r>
    </w:p>
    <w:p w:rsidR="00921BC7" w:rsidRPr="006742F5" w:rsidRDefault="00921BC7" w:rsidP="0097549A">
      <w:pPr>
        <w:pStyle w:val="ListParagraph"/>
        <w:numPr>
          <w:ilvl w:val="0"/>
          <w:numId w:val="2"/>
        </w:numPr>
        <w:spacing w:before="0" w:after="200" w:line="252" w:lineRule="auto"/>
        <w:contextualSpacing w:val="0"/>
        <w:rPr>
          <w:rFonts w:eastAsia="Times New Roman" w:cs="Times New Roman"/>
        </w:rPr>
      </w:pPr>
      <w:r w:rsidRPr="006742F5">
        <w:rPr>
          <w:rFonts w:eastAsia="Times New Roman" w:cs="Times New Roman"/>
        </w:rPr>
        <w:t xml:space="preserve">Ensure </w:t>
      </w:r>
      <w:r>
        <w:rPr>
          <w:rFonts w:eastAsia="Times New Roman" w:cs="Times New Roman"/>
        </w:rPr>
        <w:t>food m</w:t>
      </w:r>
      <w:r w:rsidRPr="006742F5">
        <w:rPr>
          <w:rFonts w:eastAsia="Times New Roman" w:cs="Times New Roman"/>
        </w:rPr>
        <w:t xml:space="preserve">onitors are trained </w:t>
      </w:r>
      <w:r>
        <w:rPr>
          <w:rFonts w:eastAsia="Times New Roman" w:cs="Times New Roman"/>
        </w:rPr>
        <w:t>in:</w:t>
      </w:r>
    </w:p>
    <w:p w:rsidR="00921BC7" w:rsidRPr="009E67E9" w:rsidRDefault="00921BC7" w:rsidP="000D27B5">
      <w:pPr>
        <w:numPr>
          <w:ilvl w:val="0"/>
          <w:numId w:val="11"/>
        </w:numPr>
        <w:tabs>
          <w:tab w:val="left" w:pos="-720"/>
        </w:tabs>
        <w:spacing w:before="60" w:after="60" w:line="252" w:lineRule="auto"/>
        <w:ind w:left="720"/>
        <w:rPr>
          <w:rFonts w:ascii="Calibri" w:eastAsia="Times New Roman" w:hAnsi="Calibri" w:cs="Calibri"/>
        </w:rPr>
      </w:pPr>
      <w:r w:rsidRPr="009E67E9">
        <w:rPr>
          <w:rFonts w:ascii="Calibri" w:eastAsia="Times New Roman" w:hAnsi="Calibri" w:cs="Calibri"/>
        </w:rPr>
        <w:t>Principles of internal control</w:t>
      </w:r>
    </w:p>
    <w:p w:rsidR="00921BC7" w:rsidRPr="009E67E9" w:rsidRDefault="00921BC7" w:rsidP="000D27B5">
      <w:pPr>
        <w:numPr>
          <w:ilvl w:val="0"/>
          <w:numId w:val="11"/>
        </w:numPr>
        <w:tabs>
          <w:tab w:val="left" w:pos="-720"/>
        </w:tabs>
        <w:spacing w:before="60" w:after="60" w:line="252" w:lineRule="auto"/>
        <w:ind w:left="720"/>
        <w:rPr>
          <w:rFonts w:ascii="Calibri" w:eastAsia="Times New Roman" w:hAnsi="Calibri" w:cs="Calibri"/>
        </w:rPr>
      </w:pPr>
      <w:r w:rsidRPr="009E67E9">
        <w:rPr>
          <w:rFonts w:ascii="Calibri" w:eastAsia="Times New Roman" w:hAnsi="Calibri" w:cs="Calibri"/>
        </w:rPr>
        <w:t>Basic inventory accounting</w:t>
      </w:r>
    </w:p>
    <w:p w:rsidR="00986C2D" w:rsidRDefault="00986C2D" w:rsidP="000D27B5">
      <w:pPr>
        <w:numPr>
          <w:ilvl w:val="0"/>
          <w:numId w:val="11"/>
        </w:numPr>
        <w:tabs>
          <w:tab w:val="left" w:pos="-720"/>
        </w:tabs>
        <w:spacing w:before="60" w:after="60" w:line="252" w:lineRule="auto"/>
        <w:ind w:left="720"/>
        <w:rPr>
          <w:rFonts w:ascii="Calibri" w:eastAsia="Times New Roman" w:hAnsi="Calibri" w:cs="Calibri"/>
        </w:rPr>
      </w:pPr>
      <w:r>
        <w:t>Community-level store m</w:t>
      </w:r>
      <w:r w:rsidR="00921BC7" w:rsidRPr="009E67E9">
        <w:t>anagement practices</w:t>
      </w:r>
      <w:r w:rsidR="00921BC7" w:rsidRPr="009E67E9">
        <w:rPr>
          <w:rFonts w:ascii="Calibri" w:eastAsia="Times New Roman" w:hAnsi="Calibri" w:cs="Calibri"/>
        </w:rPr>
        <w:t xml:space="preserve"> </w:t>
      </w:r>
    </w:p>
    <w:p w:rsidR="00921BC7" w:rsidRPr="009E67E9" w:rsidRDefault="00986C2D" w:rsidP="000D27B5">
      <w:pPr>
        <w:numPr>
          <w:ilvl w:val="0"/>
          <w:numId w:val="11"/>
        </w:numPr>
        <w:tabs>
          <w:tab w:val="left" w:pos="-720"/>
        </w:tabs>
        <w:spacing w:before="60" w:after="60" w:line="252" w:lineRule="auto"/>
        <w:ind w:left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</w:t>
      </w:r>
      <w:r w:rsidR="00921BC7" w:rsidRPr="009E67E9">
        <w:rPr>
          <w:rFonts w:ascii="Calibri" w:eastAsia="Times New Roman" w:hAnsi="Calibri" w:cs="Calibri"/>
        </w:rPr>
        <w:t>hysical counts of inventory</w:t>
      </w:r>
      <w:r w:rsidR="00921BC7">
        <w:rPr>
          <w:rFonts w:ascii="Calibri" w:eastAsia="Times New Roman" w:hAnsi="Calibri" w:cs="Calibri"/>
        </w:rPr>
        <w:t xml:space="preserve"> </w:t>
      </w:r>
    </w:p>
    <w:p w:rsidR="00921BC7" w:rsidRPr="009E67E9" w:rsidRDefault="00921BC7" w:rsidP="000D27B5">
      <w:pPr>
        <w:numPr>
          <w:ilvl w:val="0"/>
          <w:numId w:val="11"/>
        </w:numPr>
        <w:tabs>
          <w:tab w:val="left" w:pos="-720"/>
        </w:tabs>
        <w:spacing w:before="60" w:after="60" w:line="252" w:lineRule="auto"/>
        <w:ind w:left="720"/>
        <w:rPr>
          <w:rFonts w:ascii="Calibri" w:eastAsia="Times New Roman" w:hAnsi="Calibri" w:cs="Calibri"/>
        </w:rPr>
      </w:pPr>
      <w:r w:rsidRPr="009E67E9">
        <w:rPr>
          <w:rFonts w:ascii="Calibri" w:eastAsia="Times New Roman" w:hAnsi="Calibri" w:cs="Calibri"/>
        </w:rPr>
        <w:t>Recipient registration procedures</w:t>
      </w:r>
    </w:p>
    <w:p w:rsidR="00921BC7" w:rsidRPr="009E67E9" w:rsidRDefault="00921BC7" w:rsidP="000D27B5">
      <w:pPr>
        <w:numPr>
          <w:ilvl w:val="0"/>
          <w:numId w:val="11"/>
        </w:numPr>
        <w:tabs>
          <w:tab w:val="left" w:pos="-720"/>
        </w:tabs>
        <w:spacing w:before="60" w:after="60" w:line="252" w:lineRule="auto"/>
        <w:ind w:left="720"/>
        <w:rPr>
          <w:rFonts w:ascii="Calibri" w:eastAsia="Times New Roman" w:hAnsi="Calibri" w:cs="Calibri"/>
        </w:rPr>
      </w:pPr>
      <w:r w:rsidRPr="009E67E9">
        <w:rPr>
          <w:rFonts w:ascii="Calibri" w:eastAsia="Times New Roman" w:hAnsi="Calibri" w:cs="Calibri"/>
        </w:rPr>
        <w:t xml:space="preserve">Methods </w:t>
      </w:r>
      <w:r w:rsidR="000D27B5">
        <w:rPr>
          <w:rFonts w:ascii="Calibri" w:eastAsia="Times New Roman" w:hAnsi="Calibri" w:cs="Calibri"/>
        </w:rPr>
        <w:t>of</w:t>
      </w:r>
      <w:r w:rsidRPr="009E67E9">
        <w:rPr>
          <w:rFonts w:ascii="Calibri" w:eastAsia="Times New Roman" w:hAnsi="Calibri" w:cs="Calibri"/>
        </w:rPr>
        <w:t xml:space="preserve"> detect</w:t>
      </w:r>
      <w:r w:rsidR="000D27B5">
        <w:rPr>
          <w:rFonts w:ascii="Calibri" w:eastAsia="Times New Roman" w:hAnsi="Calibri" w:cs="Calibri"/>
        </w:rPr>
        <w:t>ing</w:t>
      </w:r>
      <w:r w:rsidRPr="009E67E9">
        <w:rPr>
          <w:rFonts w:ascii="Calibri" w:eastAsia="Times New Roman" w:hAnsi="Calibri" w:cs="Calibri"/>
        </w:rPr>
        <w:t xml:space="preserve"> </w:t>
      </w:r>
      <w:r w:rsidR="0097549A">
        <w:rPr>
          <w:rFonts w:ascii="Calibri" w:eastAsia="Times New Roman" w:hAnsi="Calibri" w:cs="Calibri"/>
        </w:rPr>
        <w:t>risk</w:t>
      </w:r>
      <w:r w:rsidRPr="009E67E9">
        <w:rPr>
          <w:rFonts w:ascii="Calibri" w:eastAsia="Times New Roman" w:hAnsi="Calibri" w:cs="Calibri"/>
        </w:rPr>
        <w:t xml:space="preserve"> and theft</w:t>
      </w:r>
    </w:p>
    <w:p w:rsidR="00921BC7" w:rsidRPr="009E67E9" w:rsidRDefault="00921BC7" w:rsidP="000D27B5">
      <w:pPr>
        <w:numPr>
          <w:ilvl w:val="0"/>
          <w:numId w:val="11"/>
        </w:numPr>
        <w:tabs>
          <w:tab w:val="left" w:pos="-720"/>
        </w:tabs>
        <w:spacing w:before="60" w:after="60" w:line="252" w:lineRule="auto"/>
        <w:ind w:left="720"/>
        <w:rPr>
          <w:rFonts w:ascii="Calibri" w:eastAsia="Times New Roman" w:hAnsi="Calibri" w:cs="Calibri"/>
        </w:rPr>
      </w:pPr>
      <w:r w:rsidRPr="009E67E9">
        <w:rPr>
          <w:rFonts w:ascii="Calibri" w:eastAsia="Times New Roman" w:hAnsi="Calibri" w:cs="Calibri"/>
        </w:rPr>
        <w:t xml:space="preserve">Sampling of </w:t>
      </w:r>
      <w:r w:rsidRPr="009E67E9">
        <w:t>commodity</w:t>
      </w:r>
      <w:r w:rsidRPr="009E67E9">
        <w:rPr>
          <w:rFonts w:ascii="Calibri" w:eastAsia="Times New Roman" w:hAnsi="Calibri" w:cs="Calibri"/>
        </w:rPr>
        <w:t xml:space="preserve"> to assess quality</w:t>
      </w:r>
    </w:p>
    <w:p w:rsidR="00921BC7" w:rsidRPr="009E67E9" w:rsidRDefault="00921BC7" w:rsidP="000D27B5">
      <w:pPr>
        <w:numPr>
          <w:ilvl w:val="0"/>
          <w:numId w:val="11"/>
        </w:numPr>
        <w:tabs>
          <w:tab w:val="left" w:pos="-720"/>
        </w:tabs>
        <w:spacing w:before="60" w:after="60" w:line="252" w:lineRule="auto"/>
        <w:ind w:left="720"/>
        <w:rPr>
          <w:rFonts w:ascii="Calibri" w:eastAsia="Times New Roman" w:hAnsi="Calibri" w:cs="Calibri"/>
        </w:rPr>
      </w:pPr>
      <w:r w:rsidRPr="009E67E9">
        <w:rPr>
          <w:rFonts w:ascii="Calibri" w:eastAsia="Times New Roman" w:hAnsi="Calibri" w:cs="Calibri"/>
        </w:rPr>
        <w:t>Sampling of documentation for review</w:t>
      </w:r>
    </w:p>
    <w:p w:rsidR="00921BC7" w:rsidRPr="009E67E9" w:rsidRDefault="0097549A" w:rsidP="000D27B5">
      <w:pPr>
        <w:numPr>
          <w:ilvl w:val="0"/>
          <w:numId w:val="11"/>
        </w:numPr>
        <w:tabs>
          <w:tab w:val="left" w:pos="-720"/>
        </w:tabs>
        <w:spacing w:before="60" w:after="60" w:line="252" w:lineRule="auto"/>
        <w:ind w:left="720"/>
        <w:rPr>
          <w:rFonts w:ascii="Calibri" w:eastAsia="Times New Roman" w:hAnsi="Calibri" w:cs="Calibri"/>
        </w:rPr>
      </w:pPr>
      <w:r>
        <w:t>Commodity</w:t>
      </w:r>
      <w:r w:rsidR="00921BC7" w:rsidRPr="009E67E9">
        <w:t xml:space="preserve"> distribution </w:t>
      </w:r>
      <w:r>
        <w:t>procedures</w:t>
      </w:r>
      <w:r w:rsidR="00921BC7" w:rsidRPr="009E67E9">
        <w:t>,</w:t>
      </w:r>
      <w:r w:rsidR="00921BC7" w:rsidRPr="009E67E9">
        <w:rPr>
          <w:rFonts w:ascii="Calibri" w:eastAsia="Times New Roman" w:hAnsi="Calibri" w:cs="Calibri"/>
        </w:rPr>
        <w:t xml:space="preserve"> such as scooping </w:t>
      </w:r>
      <w:r>
        <w:rPr>
          <w:rFonts w:ascii="Calibri" w:eastAsia="Times New Roman" w:hAnsi="Calibri" w:cs="Calibri"/>
        </w:rPr>
        <w:t>and weighing</w:t>
      </w:r>
    </w:p>
    <w:p w:rsidR="00921BC7" w:rsidRPr="0097549A" w:rsidRDefault="00921BC7" w:rsidP="000D27B5">
      <w:pPr>
        <w:numPr>
          <w:ilvl w:val="0"/>
          <w:numId w:val="11"/>
        </w:numPr>
        <w:tabs>
          <w:tab w:val="left" w:pos="-720"/>
        </w:tabs>
        <w:spacing w:before="60" w:after="60" w:line="252" w:lineRule="auto"/>
        <w:ind w:left="720"/>
        <w:rPr>
          <w:rFonts w:ascii="Calibri" w:eastAsia="Times New Roman" w:hAnsi="Calibri" w:cs="Calibri"/>
        </w:rPr>
      </w:pPr>
      <w:r w:rsidRPr="009E67E9">
        <w:rPr>
          <w:rFonts w:ascii="Calibri" w:eastAsia="Times New Roman" w:hAnsi="Calibri" w:cs="Calibri"/>
        </w:rPr>
        <w:t>Reporting procedures</w:t>
      </w:r>
    </w:p>
    <w:sectPr w:rsidR="00921BC7" w:rsidRPr="0097549A" w:rsidSect="009D36EA">
      <w:headerReference w:type="default" r:id="rId15"/>
      <w:footerReference w:type="default" r:id="rId1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ADB" w:rsidRDefault="009F7ADB" w:rsidP="009D36EA">
      <w:pPr>
        <w:spacing w:before="0" w:after="0"/>
      </w:pPr>
      <w:r>
        <w:separator/>
      </w:r>
    </w:p>
  </w:endnote>
  <w:endnote w:type="continuationSeparator" w:id="0">
    <w:p w:rsidR="009F7ADB" w:rsidRDefault="009F7ADB" w:rsidP="009D36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4737"/>
      <w:docPartObj>
        <w:docPartGallery w:val="Page Numbers (Bottom of Page)"/>
        <w:docPartUnique/>
      </w:docPartObj>
    </w:sdtPr>
    <w:sdtEndPr/>
    <w:sdtContent>
      <w:sdt>
        <w:sdtPr>
          <w:id w:val="7914738"/>
          <w:docPartObj>
            <w:docPartGallery w:val="Page Numbers (Top of Page)"/>
            <w:docPartUnique/>
          </w:docPartObj>
        </w:sdtPr>
        <w:sdtEndPr/>
        <w:sdtContent>
          <w:p w:rsidR="00691D4D" w:rsidRPr="0097549A" w:rsidRDefault="00691D4D">
            <w:pPr>
              <w:pStyle w:val="Footer"/>
              <w:jc w:val="center"/>
            </w:pPr>
            <w:r w:rsidRPr="0097549A">
              <w:t xml:space="preserve">Page </w:t>
            </w:r>
            <w:r w:rsidR="009F25E2" w:rsidRPr="0097549A">
              <w:fldChar w:fldCharType="begin"/>
            </w:r>
            <w:r w:rsidRPr="0097549A">
              <w:instrText xml:space="preserve"> PAGE </w:instrText>
            </w:r>
            <w:r w:rsidR="009F25E2" w:rsidRPr="0097549A">
              <w:fldChar w:fldCharType="separate"/>
            </w:r>
            <w:r w:rsidR="006202EB">
              <w:rPr>
                <w:noProof/>
              </w:rPr>
              <w:t>3</w:t>
            </w:r>
            <w:r w:rsidR="009F25E2" w:rsidRPr="0097549A">
              <w:fldChar w:fldCharType="end"/>
            </w:r>
            <w:r w:rsidRPr="0097549A">
              <w:t xml:space="preserve"> of </w:t>
            </w:r>
            <w:r w:rsidR="009F25E2" w:rsidRPr="0097549A">
              <w:fldChar w:fldCharType="begin"/>
            </w:r>
            <w:r w:rsidRPr="0097549A">
              <w:instrText xml:space="preserve"> NUMPAGES  </w:instrText>
            </w:r>
            <w:r w:rsidR="009F25E2" w:rsidRPr="0097549A">
              <w:fldChar w:fldCharType="separate"/>
            </w:r>
            <w:r w:rsidR="006202EB">
              <w:rPr>
                <w:noProof/>
              </w:rPr>
              <w:t>3</w:t>
            </w:r>
            <w:r w:rsidR="009F25E2" w:rsidRPr="0097549A">
              <w:fldChar w:fldCharType="end"/>
            </w:r>
          </w:p>
        </w:sdtContent>
      </w:sdt>
    </w:sdtContent>
  </w:sdt>
  <w:p w:rsidR="00691D4D" w:rsidRDefault="00691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ADB" w:rsidRDefault="009F7ADB" w:rsidP="009D36EA">
      <w:pPr>
        <w:spacing w:before="0" w:after="0"/>
      </w:pPr>
      <w:r>
        <w:separator/>
      </w:r>
    </w:p>
  </w:footnote>
  <w:footnote w:type="continuationSeparator" w:id="0">
    <w:p w:rsidR="009F7ADB" w:rsidRDefault="009F7ADB" w:rsidP="009D36E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D4D" w:rsidRDefault="00691D4D" w:rsidP="009D36EA">
    <w:pPr>
      <w:pStyle w:val="Header"/>
      <w:jc w:val="center"/>
    </w:pPr>
    <w:r w:rsidRPr="00921BC7">
      <w:rPr>
        <w:b/>
        <w:color w:val="237990"/>
        <w:sz w:val="28"/>
        <w:szCs w:val="28"/>
      </w:rPr>
      <w:t>Food Distribution Monitoring System G</w:t>
    </w:r>
    <w:r w:rsidR="0007522B" w:rsidRPr="00921BC7">
      <w:rPr>
        <w:b/>
        <w:color w:val="237990"/>
        <w:sz w:val="28"/>
        <w:szCs w:val="28"/>
      </w:rPr>
      <w:t>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A18BC"/>
    <w:multiLevelType w:val="hybridMultilevel"/>
    <w:tmpl w:val="4726D6BC"/>
    <w:lvl w:ilvl="0" w:tplc="9ABA3D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7942FE"/>
    <w:multiLevelType w:val="hybridMultilevel"/>
    <w:tmpl w:val="A12EEDAE"/>
    <w:lvl w:ilvl="0" w:tplc="2CC265FE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195A64"/>
    <w:multiLevelType w:val="hybridMultilevel"/>
    <w:tmpl w:val="3CF25F76"/>
    <w:lvl w:ilvl="0" w:tplc="ADFC4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85FBD"/>
    <w:multiLevelType w:val="hybridMultilevel"/>
    <w:tmpl w:val="3352410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3C885BC5"/>
    <w:multiLevelType w:val="hybridMultilevel"/>
    <w:tmpl w:val="9E6E8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A65AB"/>
    <w:multiLevelType w:val="hybridMultilevel"/>
    <w:tmpl w:val="729A202C"/>
    <w:lvl w:ilvl="0" w:tplc="7DE8B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D27E6"/>
    <w:multiLevelType w:val="hybridMultilevel"/>
    <w:tmpl w:val="D9FC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57E0C"/>
    <w:multiLevelType w:val="hybridMultilevel"/>
    <w:tmpl w:val="A7B6A1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AC79FC"/>
    <w:multiLevelType w:val="hybridMultilevel"/>
    <w:tmpl w:val="179632D8"/>
    <w:lvl w:ilvl="0" w:tplc="2CC265FE">
      <w:start w:val="1"/>
      <w:numFmt w:val="lowerLetter"/>
      <w:lvlText w:val="%1)"/>
      <w:lvlJc w:val="left"/>
      <w:pPr>
        <w:ind w:left="864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6B7948B7"/>
    <w:multiLevelType w:val="hybridMultilevel"/>
    <w:tmpl w:val="CECACAF2"/>
    <w:lvl w:ilvl="0" w:tplc="F7066DA6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534556"/>
    <w:multiLevelType w:val="hybridMultilevel"/>
    <w:tmpl w:val="59CA0182"/>
    <w:lvl w:ilvl="0" w:tplc="2CC265FE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6EA"/>
    <w:rsid w:val="0000068D"/>
    <w:rsid w:val="000044EF"/>
    <w:rsid w:val="00026341"/>
    <w:rsid w:val="00030F9B"/>
    <w:rsid w:val="0003233F"/>
    <w:rsid w:val="000711CF"/>
    <w:rsid w:val="0007522B"/>
    <w:rsid w:val="00090CF5"/>
    <w:rsid w:val="000A0D9F"/>
    <w:rsid w:val="000B75D5"/>
    <w:rsid w:val="000D27B5"/>
    <w:rsid w:val="000E6E93"/>
    <w:rsid w:val="00106FD2"/>
    <w:rsid w:val="0015128C"/>
    <w:rsid w:val="00157F32"/>
    <w:rsid w:val="00165D64"/>
    <w:rsid w:val="00171B19"/>
    <w:rsid w:val="00173AE3"/>
    <w:rsid w:val="00181FDB"/>
    <w:rsid w:val="00184ED0"/>
    <w:rsid w:val="00185848"/>
    <w:rsid w:val="00191871"/>
    <w:rsid w:val="001A0412"/>
    <w:rsid w:val="001A139C"/>
    <w:rsid w:val="001A1FEC"/>
    <w:rsid w:val="001A3677"/>
    <w:rsid w:val="001A41E2"/>
    <w:rsid w:val="001E475F"/>
    <w:rsid w:val="00217CD8"/>
    <w:rsid w:val="002243F3"/>
    <w:rsid w:val="002305AD"/>
    <w:rsid w:val="00230F56"/>
    <w:rsid w:val="00247B3F"/>
    <w:rsid w:val="00295236"/>
    <w:rsid w:val="002970B8"/>
    <w:rsid w:val="002E0D1A"/>
    <w:rsid w:val="002E336D"/>
    <w:rsid w:val="002F5357"/>
    <w:rsid w:val="00304989"/>
    <w:rsid w:val="00323F95"/>
    <w:rsid w:val="00341833"/>
    <w:rsid w:val="00341B54"/>
    <w:rsid w:val="003520F6"/>
    <w:rsid w:val="00362C1A"/>
    <w:rsid w:val="00371343"/>
    <w:rsid w:val="003812AC"/>
    <w:rsid w:val="00385B6C"/>
    <w:rsid w:val="003D4D81"/>
    <w:rsid w:val="003F7E37"/>
    <w:rsid w:val="003F7FDB"/>
    <w:rsid w:val="00404A18"/>
    <w:rsid w:val="00407BBC"/>
    <w:rsid w:val="004305B2"/>
    <w:rsid w:val="00432DE0"/>
    <w:rsid w:val="00440B4D"/>
    <w:rsid w:val="00441B1B"/>
    <w:rsid w:val="00457DD5"/>
    <w:rsid w:val="00463700"/>
    <w:rsid w:val="00495B7B"/>
    <w:rsid w:val="004A4ECA"/>
    <w:rsid w:val="004C6203"/>
    <w:rsid w:val="004D49B0"/>
    <w:rsid w:val="004D7F26"/>
    <w:rsid w:val="004E103B"/>
    <w:rsid w:val="00523688"/>
    <w:rsid w:val="00526ECD"/>
    <w:rsid w:val="005571FD"/>
    <w:rsid w:val="00562B86"/>
    <w:rsid w:val="0057093E"/>
    <w:rsid w:val="00593011"/>
    <w:rsid w:val="00596E1C"/>
    <w:rsid w:val="005B5D90"/>
    <w:rsid w:val="005B6470"/>
    <w:rsid w:val="005B721B"/>
    <w:rsid w:val="005C077C"/>
    <w:rsid w:val="005E4F0D"/>
    <w:rsid w:val="00604265"/>
    <w:rsid w:val="006062C9"/>
    <w:rsid w:val="00614E66"/>
    <w:rsid w:val="006202EB"/>
    <w:rsid w:val="006325AA"/>
    <w:rsid w:val="00670F2F"/>
    <w:rsid w:val="006742F5"/>
    <w:rsid w:val="006760B3"/>
    <w:rsid w:val="00676EEB"/>
    <w:rsid w:val="00691D4D"/>
    <w:rsid w:val="00696C98"/>
    <w:rsid w:val="006A7F3F"/>
    <w:rsid w:val="006B34B8"/>
    <w:rsid w:val="006B3EFD"/>
    <w:rsid w:val="006E607F"/>
    <w:rsid w:val="006E7B74"/>
    <w:rsid w:val="007253FA"/>
    <w:rsid w:val="007339DB"/>
    <w:rsid w:val="0073486D"/>
    <w:rsid w:val="00734A05"/>
    <w:rsid w:val="007524FE"/>
    <w:rsid w:val="0076506B"/>
    <w:rsid w:val="00767354"/>
    <w:rsid w:val="00773CB0"/>
    <w:rsid w:val="00780AA0"/>
    <w:rsid w:val="007B1299"/>
    <w:rsid w:val="007B38AC"/>
    <w:rsid w:val="007C7215"/>
    <w:rsid w:val="00812281"/>
    <w:rsid w:val="0081727E"/>
    <w:rsid w:val="00823898"/>
    <w:rsid w:val="00826954"/>
    <w:rsid w:val="0083662B"/>
    <w:rsid w:val="00853C60"/>
    <w:rsid w:val="00880BD8"/>
    <w:rsid w:val="008852B0"/>
    <w:rsid w:val="008873AD"/>
    <w:rsid w:val="008D0639"/>
    <w:rsid w:val="008E3199"/>
    <w:rsid w:val="008F4293"/>
    <w:rsid w:val="009059AC"/>
    <w:rsid w:val="00921BC7"/>
    <w:rsid w:val="00947426"/>
    <w:rsid w:val="0097549A"/>
    <w:rsid w:val="00986C2D"/>
    <w:rsid w:val="00986E75"/>
    <w:rsid w:val="009A6913"/>
    <w:rsid w:val="009D36EA"/>
    <w:rsid w:val="009E6317"/>
    <w:rsid w:val="009E67E9"/>
    <w:rsid w:val="009F25E2"/>
    <w:rsid w:val="009F7ADB"/>
    <w:rsid w:val="00A035D8"/>
    <w:rsid w:val="00A05DD7"/>
    <w:rsid w:val="00A07558"/>
    <w:rsid w:val="00A16626"/>
    <w:rsid w:val="00A217B9"/>
    <w:rsid w:val="00A21E67"/>
    <w:rsid w:val="00A22FA1"/>
    <w:rsid w:val="00A316E8"/>
    <w:rsid w:val="00A32C93"/>
    <w:rsid w:val="00A437F3"/>
    <w:rsid w:val="00A507E3"/>
    <w:rsid w:val="00A61817"/>
    <w:rsid w:val="00A72A78"/>
    <w:rsid w:val="00A81DFF"/>
    <w:rsid w:val="00A82105"/>
    <w:rsid w:val="00AB270D"/>
    <w:rsid w:val="00AC0243"/>
    <w:rsid w:val="00AF29FB"/>
    <w:rsid w:val="00B10524"/>
    <w:rsid w:val="00B331A8"/>
    <w:rsid w:val="00B7041A"/>
    <w:rsid w:val="00B82300"/>
    <w:rsid w:val="00B84834"/>
    <w:rsid w:val="00B86958"/>
    <w:rsid w:val="00BA160C"/>
    <w:rsid w:val="00BB7071"/>
    <w:rsid w:val="00BB7CD5"/>
    <w:rsid w:val="00BC1F79"/>
    <w:rsid w:val="00BD3C34"/>
    <w:rsid w:val="00BE63F4"/>
    <w:rsid w:val="00BE643B"/>
    <w:rsid w:val="00C215F9"/>
    <w:rsid w:val="00C21A9B"/>
    <w:rsid w:val="00C33EA7"/>
    <w:rsid w:val="00C42FBD"/>
    <w:rsid w:val="00C45FFF"/>
    <w:rsid w:val="00C4671C"/>
    <w:rsid w:val="00C72720"/>
    <w:rsid w:val="00C748D2"/>
    <w:rsid w:val="00C9501B"/>
    <w:rsid w:val="00CA502F"/>
    <w:rsid w:val="00CA67A5"/>
    <w:rsid w:val="00CC4054"/>
    <w:rsid w:val="00CC693D"/>
    <w:rsid w:val="00CD2D6C"/>
    <w:rsid w:val="00D21466"/>
    <w:rsid w:val="00D63809"/>
    <w:rsid w:val="00D85E74"/>
    <w:rsid w:val="00D869D5"/>
    <w:rsid w:val="00D90BC3"/>
    <w:rsid w:val="00DB493D"/>
    <w:rsid w:val="00DF220C"/>
    <w:rsid w:val="00DF3AED"/>
    <w:rsid w:val="00E15949"/>
    <w:rsid w:val="00E16694"/>
    <w:rsid w:val="00E341B1"/>
    <w:rsid w:val="00E34C7F"/>
    <w:rsid w:val="00E5370A"/>
    <w:rsid w:val="00E703B5"/>
    <w:rsid w:val="00EA0559"/>
    <w:rsid w:val="00EB4364"/>
    <w:rsid w:val="00F17CF7"/>
    <w:rsid w:val="00F90F29"/>
    <w:rsid w:val="00F94419"/>
    <w:rsid w:val="00FC7107"/>
    <w:rsid w:val="00FF3B8B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B2752"/>
  <w15:docId w15:val="{E4F81D43-D7C5-4723-BECB-5A09B264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5F9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D36E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D36EA"/>
  </w:style>
  <w:style w:type="paragraph" w:styleId="Footer">
    <w:name w:val="footer"/>
    <w:basedOn w:val="Normal"/>
    <w:link w:val="FooterChar"/>
    <w:uiPriority w:val="99"/>
    <w:unhideWhenUsed/>
    <w:rsid w:val="009D36E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D36EA"/>
  </w:style>
  <w:style w:type="paragraph" w:styleId="BalloonText">
    <w:name w:val="Balloon Text"/>
    <w:basedOn w:val="Normal"/>
    <w:link w:val="BalloonTextChar"/>
    <w:uiPriority w:val="99"/>
    <w:semiHidden/>
    <w:unhideWhenUsed/>
    <w:rsid w:val="009D36E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6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5F9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B84834"/>
    <w:pPr>
      <w:spacing w:before="0"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8483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B8483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9501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1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85E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9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7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6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5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nnetwork.org/sites/default/files/samplingguide.pdf" TargetMode="Externa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http://www.fsnnetwork.org/monitoring-and-evaluation-facilitators-guide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359D5C-BEFE-49E5-BB2B-E7A44FB67B76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CED33E9-CEEF-4011-A9F7-48DE6857A6B1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 sz="1000" b="1"/>
            <a:t>Monitoring data collected</a:t>
          </a:r>
        </a:p>
      </dgm:t>
    </dgm:pt>
    <dgm:pt modelId="{721E7A71-9F27-45B3-A677-E66A99831C71}" type="parTrans" cxnId="{C618766C-A023-4A0E-8E31-5BCF628780BA}">
      <dgm:prSet/>
      <dgm:spPr/>
      <dgm:t>
        <a:bodyPr/>
        <a:lstStyle/>
        <a:p>
          <a:pPr algn="ctr"/>
          <a:endParaRPr lang="en-US"/>
        </a:p>
      </dgm:t>
    </dgm:pt>
    <dgm:pt modelId="{1FC480C4-060E-4551-BEBD-7F99489ADF99}" type="sibTrans" cxnId="{C618766C-A023-4A0E-8E31-5BCF628780BA}">
      <dgm:prSet/>
      <dgm:spPr/>
      <dgm:t>
        <a:bodyPr/>
        <a:lstStyle/>
        <a:p>
          <a:pPr algn="ctr"/>
          <a:endParaRPr lang="en-US"/>
        </a:p>
      </dgm:t>
    </dgm:pt>
    <dgm:pt modelId="{DC384174-E83C-44EE-901B-211FBD799AFD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 sz="1000" b="1"/>
            <a:t>Data analyzed and summarized</a:t>
          </a:r>
        </a:p>
      </dgm:t>
    </dgm:pt>
    <dgm:pt modelId="{378C242B-E329-4DBC-B1BB-ECB03ACCE450}" type="parTrans" cxnId="{49702527-E42A-476E-A8E3-92DF17A3E956}">
      <dgm:prSet/>
      <dgm:spPr/>
      <dgm:t>
        <a:bodyPr/>
        <a:lstStyle/>
        <a:p>
          <a:pPr algn="ctr"/>
          <a:endParaRPr lang="en-US"/>
        </a:p>
      </dgm:t>
    </dgm:pt>
    <dgm:pt modelId="{EFD5089F-B7F7-4E12-832A-010E43D5FC01}" type="sibTrans" cxnId="{49702527-E42A-476E-A8E3-92DF17A3E956}">
      <dgm:prSet/>
      <dgm:spPr/>
      <dgm:t>
        <a:bodyPr/>
        <a:lstStyle/>
        <a:p>
          <a:pPr algn="ctr"/>
          <a:endParaRPr lang="en-US"/>
        </a:p>
      </dgm:t>
    </dgm:pt>
    <dgm:pt modelId="{8E108F3B-D3E5-4008-A8A7-19C9B61FEEF5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noFill/>
        <a:ln>
          <a:solidFill>
            <a:srgbClr val="F79646"/>
          </a:solidFill>
        </a:ln>
      </dgm:spPr>
      <dgm:t>
        <a:bodyPr/>
        <a:lstStyle/>
        <a:p>
          <a:pPr algn="ctr"/>
          <a:r>
            <a:rPr lang="en-US" sz="1000" b="1"/>
            <a:t>Summaries made easy to understand by all stakeholders</a:t>
          </a:r>
        </a:p>
      </dgm:t>
    </dgm:pt>
    <dgm:pt modelId="{E0FB5BC0-E8F1-4B24-88D3-8B6A1BBE61FE}" type="parTrans" cxnId="{A3567108-EEC1-46B8-A070-B5B4E5286C79}">
      <dgm:prSet/>
      <dgm:spPr/>
      <dgm:t>
        <a:bodyPr/>
        <a:lstStyle/>
        <a:p>
          <a:pPr algn="ctr"/>
          <a:endParaRPr lang="en-US"/>
        </a:p>
      </dgm:t>
    </dgm:pt>
    <dgm:pt modelId="{B3C49ED6-1322-40C0-A8C0-3028047D64A3}" type="sibTrans" cxnId="{A3567108-EEC1-46B8-A070-B5B4E5286C79}">
      <dgm:prSet/>
      <dgm:spPr/>
      <dgm:t>
        <a:bodyPr/>
        <a:lstStyle/>
        <a:p>
          <a:pPr algn="ctr"/>
          <a:endParaRPr lang="en-US"/>
        </a:p>
      </dgm:t>
    </dgm:pt>
    <dgm:pt modelId="{6D30B33B-2B6F-4499-9457-593ABFFA119C}">
      <dgm:prSet phldrT="[Text]" custT="1"/>
      <dgm:spPr>
        <a:noFill/>
        <a:ln>
          <a:solidFill>
            <a:srgbClr val="F79646"/>
          </a:solidFill>
        </a:ln>
      </dgm:spPr>
      <dgm:t>
        <a:bodyPr/>
        <a:lstStyle/>
        <a:p>
          <a:pPr algn="ctr"/>
          <a:r>
            <a:rPr lang="en-US" sz="1000" b="1">
              <a:solidFill>
                <a:schemeClr val="tx1"/>
              </a:solidFill>
            </a:rPr>
            <a:t>Findings presented to Program Management, Host  Government, Donor AND community</a:t>
          </a:r>
        </a:p>
      </dgm:t>
    </dgm:pt>
    <dgm:pt modelId="{29AC47E0-BAE9-418C-82D5-98F786452392}" type="parTrans" cxnId="{A757D77E-E1C5-4677-AE69-EC444F5F8F04}">
      <dgm:prSet/>
      <dgm:spPr/>
      <dgm:t>
        <a:bodyPr/>
        <a:lstStyle/>
        <a:p>
          <a:pPr algn="ctr"/>
          <a:endParaRPr lang="en-US"/>
        </a:p>
      </dgm:t>
    </dgm:pt>
    <dgm:pt modelId="{7EC49120-B8F5-4C73-99D0-12FC72C59B4E}" type="sibTrans" cxnId="{A757D77E-E1C5-4677-AE69-EC444F5F8F04}">
      <dgm:prSet/>
      <dgm:spPr/>
      <dgm:t>
        <a:bodyPr/>
        <a:lstStyle/>
        <a:p>
          <a:pPr algn="ctr"/>
          <a:endParaRPr lang="en-US"/>
        </a:p>
      </dgm:t>
    </dgm:pt>
    <dgm:pt modelId="{2D17C70C-DCB3-4EAC-83A4-ED97463ED609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noFill/>
      </dgm:spPr>
      <dgm:t>
        <a:bodyPr/>
        <a:lstStyle/>
        <a:p>
          <a:pPr algn="ctr"/>
          <a:r>
            <a:rPr lang="en-US" sz="1000" b="1">
              <a:solidFill>
                <a:schemeClr val="tx1"/>
              </a:solidFill>
            </a:rPr>
            <a:t>Based on feedback received, follow-up actions determined and implemented</a:t>
          </a:r>
        </a:p>
      </dgm:t>
    </dgm:pt>
    <dgm:pt modelId="{9BE93E04-BF78-428A-9845-F4BDAC6B4A79}" type="parTrans" cxnId="{BCC094E4-EF1A-4DAC-B230-E3CA9207A47E}">
      <dgm:prSet/>
      <dgm:spPr/>
      <dgm:t>
        <a:bodyPr/>
        <a:lstStyle/>
        <a:p>
          <a:pPr algn="ctr"/>
          <a:endParaRPr lang="en-US"/>
        </a:p>
      </dgm:t>
    </dgm:pt>
    <dgm:pt modelId="{0DD68050-EEF8-4BE5-BF04-861AA695A66F}" type="sibTrans" cxnId="{BCC094E4-EF1A-4DAC-B230-E3CA9207A47E}">
      <dgm:prSet/>
      <dgm:spPr/>
      <dgm:t>
        <a:bodyPr/>
        <a:lstStyle/>
        <a:p>
          <a:pPr algn="ctr"/>
          <a:endParaRPr lang="en-US"/>
        </a:p>
      </dgm:t>
    </dgm:pt>
    <dgm:pt modelId="{2E45525C-EF28-4354-BBC3-AF958CB83F91}" type="pres">
      <dgm:prSet presAssocID="{AC359D5C-BEFE-49E5-BB2B-E7A44FB67B7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1CDA997-7ED4-499B-ABA6-EDF8C7682750}" type="pres">
      <dgm:prSet presAssocID="{DCED33E9-CEEF-4011-A9F7-48DE6857A6B1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FBAA36-6376-4AAF-B8B5-ADFFF11C1D0F}" type="pres">
      <dgm:prSet presAssocID="{DCED33E9-CEEF-4011-A9F7-48DE6857A6B1}" presName="spNode" presStyleCnt="0"/>
      <dgm:spPr/>
    </dgm:pt>
    <dgm:pt modelId="{606A454C-3C86-4A9D-9249-47414F420CAE}" type="pres">
      <dgm:prSet presAssocID="{1FC480C4-060E-4551-BEBD-7F99489ADF99}" presName="sibTrans" presStyleLbl="sibTrans1D1" presStyleIdx="0" presStyleCnt="5"/>
      <dgm:spPr/>
      <dgm:t>
        <a:bodyPr/>
        <a:lstStyle/>
        <a:p>
          <a:endParaRPr lang="en-US"/>
        </a:p>
      </dgm:t>
    </dgm:pt>
    <dgm:pt modelId="{9AFD55B3-76FE-4337-A82A-9B9CFD6EA1D5}" type="pres">
      <dgm:prSet presAssocID="{DC384174-E83C-44EE-901B-211FBD799AFD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0E780FB-02C6-47D4-8163-E9B62B6D932B}" type="pres">
      <dgm:prSet presAssocID="{DC384174-E83C-44EE-901B-211FBD799AFD}" presName="spNode" presStyleCnt="0"/>
      <dgm:spPr/>
    </dgm:pt>
    <dgm:pt modelId="{F30B10A1-7503-4C15-A0E0-16036744EDF0}" type="pres">
      <dgm:prSet presAssocID="{EFD5089F-B7F7-4E12-832A-010E43D5FC01}" presName="sibTrans" presStyleLbl="sibTrans1D1" presStyleIdx="1" presStyleCnt="5"/>
      <dgm:spPr/>
      <dgm:t>
        <a:bodyPr/>
        <a:lstStyle/>
        <a:p>
          <a:endParaRPr lang="en-US"/>
        </a:p>
      </dgm:t>
    </dgm:pt>
    <dgm:pt modelId="{EA829154-6DF3-4C51-A01E-F3F91AB5A02C}" type="pres">
      <dgm:prSet presAssocID="{8E108F3B-D3E5-4008-A8A7-19C9B61FEEF5}" presName="node" presStyleLbl="node1" presStyleIdx="2" presStyleCnt="5" custScaleX="176091" custRadScaleRad="100842" custRadScaleInc="-481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B02D44-2AB2-419F-81E5-D546D7F5F95C}" type="pres">
      <dgm:prSet presAssocID="{8E108F3B-D3E5-4008-A8A7-19C9B61FEEF5}" presName="spNode" presStyleCnt="0"/>
      <dgm:spPr/>
    </dgm:pt>
    <dgm:pt modelId="{8E7B509A-633F-4159-8E48-AE8109995FEE}" type="pres">
      <dgm:prSet presAssocID="{B3C49ED6-1322-40C0-A8C0-3028047D64A3}" presName="sibTrans" presStyleLbl="sibTrans1D1" presStyleIdx="2" presStyleCnt="5"/>
      <dgm:spPr/>
      <dgm:t>
        <a:bodyPr/>
        <a:lstStyle/>
        <a:p>
          <a:endParaRPr lang="en-US"/>
        </a:p>
      </dgm:t>
    </dgm:pt>
    <dgm:pt modelId="{AAC3BD64-15A0-477D-96A5-44AD32E7B3BA}" type="pres">
      <dgm:prSet presAssocID="{6D30B33B-2B6F-4499-9457-593ABFFA119C}" presName="node" presStyleLbl="node1" presStyleIdx="3" presStyleCnt="5" custScaleX="156267" custRadScaleRad="104389" custRadScaleInc="685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3B6E86-833E-4DC7-81DF-744F4D9FC015}" type="pres">
      <dgm:prSet presAssocID="{6D30B33B-2B6F-4499-9457-593ABFFA119C}" presName="spNode" presStyleCnt="0"/>
      <dgm:spPr/>
    </dgm:pt>
    <dgm:pt modelId="{B6AF3C0C-CE30-4D79-AAF4-927B311BA305}" type="pres">
      <dgm:prSet presAssocID="{7EC49120-B8F5-4C73-99D0-12FC72C59B4E}" presName="sibTrans" presStyleLbl="sibTrans1D1" presStyleIdx="3" presStyleCnt="5"/>
      <dgm:spPr/>
      <dgm:t>
        <a:bodyPr/>
        <a:lstStyle/>
        <a:p>
          <a:endParaRPr lang="en-US"/>
        </a:p>
      </dgm:t>
    </dgm:pt>
    <dgm:pt modelId="{F9175DE6-EE60-4DB1-9E94-96580354E9C2}" type="pres">
      <dgm:prSet presAssocID="{2D17C70C-DCB3-4EAC-83A4-ED97463ED609}" presName="node" presStyleLbl="node1" presStyleIdx="4" presStyleCnt="5" custScaleX="1561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4896AA-3E21-4371-B22C-5941DFC185EE}" type="pres">
      <dgm:prSet presAssocID="{2D17C70C-DCB3-4EAC-83A4-ED97463ED609}" presName="spNode" presStyleCnt="0"/>
      <dgm:spPr/>
    </dgm:pt>
    <dgm:pt modelId="{F2C45BC6-8B25-4006-9383-3C42C9B0ED39}" type="pres">
      <dgm:prSet presAssocID="{0DD68050-EEF8-4BE5-BF04-861AA695A66F}" presName="sibTrans" presStyleLbl="sibTrans1D1" presStyleIdx="4" presStyleCnt="5"/>
      <dgm:spPr/>
      <dgm:t>
        <a:bodyPr/>
        <a:lstStyle/>
        <a:p>
          <a:endParaRPr lang="en-US"/>
        </a:p>
      </dgm:t>
    </dgm:pt>
  </dgm:ptLst>
  <dgm:cxnLst>
    <dgm:cxn modelId="{49702527-E42A-476E-A8E3-92DF17A3E956}" srcId="{AC359D5C-BEFE-49E5-BB2B-E7A44FB67B76}" destId="{DC384174-E83C-44EE-901B-211FBD799AFD}" srcOrd="1" destOrd="0" parTransId="{378C242B-E329-4DBC-B1BB-ECB03ACCE450}" sibTransId="{EFD5089F-B7F7-4E12-832A-010E43D5FC01}"/>
    <dgm:cxn modelId="{E07615A1-305B-4D85-BA0F-962E4FC644C0}" type="presOf" srcId="{1FC480C4-060E-4551-BEBD-7F99489ADF99}" destId="{606A454C-3C86-4A9D-9249-47414F420CAE}" srcOrd="0" destOrd="0" presId="urn:microsoft.com/office/officeart/2005/8/layout/cycle5"/>
    <dgm:cxn modelId="{4674950D-B96B-4603-9B45-6E5A25298832}" type="presOf" srcId="{EFD5089F-B7F7-4E12-832A-010E43D5FC01}" destId="{F30B10A1-7503-4C15-A0E0-16036744EDF0}" srcOrd="0" destOrd="0" presId="urn:microsoft.com/office/officeart/2005/8/layout/cycle5"/>
    <dgm:cxn modelId="{BCC094E4-EF1A-4DAC-B230-E3CA9207A47E}" srcId="{AC359D5C-BEFE-49E5-BB2B-E7A44FB67B76}" destId="{2D17C70C-DCB3-4EAC-83A4-ED97463ED609}" srcOrd="4" destOrd="0" parTransId="{9BE93E04-BF78-428A-9845-F4BDAC6B4A79}" sibTransId="{0DD68050-EEF8-4BE5-BF04-861AA695A66F}"/>
    <dgm:cxn modelId="{C618766C-A023-4A0E-8E31-5BCF628780BA}" srcId="{AC359D5C-BEFE-49E5-BB2B-E7A44FB67B76}" destId="{DCED33E9-CEEF-4011-A9F7-48DE6857A6B1}" srcOrd="0" destOrd="0" parTransId="{721E7A71-9F27-45B3-A677-E66A99831C71}" sibTransId="{1FC480C4-060E-4551-BEBD-7F99489ADF99}"/>
    <dgm:cxn modelId="{5EA55165-A35E-4CC0-8DBA-20477DBD6765}" type="presOf" srcId="{DC384174-E83C-44EE-901B-211FBD799AFD}" destId="{9AFD55B3-76FE-4337-A82A-9B9CFD6EA1D5}" srcOrd="0" destOrd="0" presId="urn:microsoft.com/office/officeart/2005/8/layout/cycle5"/>
    <dgm:cxn modelId="{90D569E6-6163-47A4-893B-F20F9D275B75}" type="presOf" srcId="{2D17C70C-DCB3-4EAC-83A4-ED97463ED609}" destId="{F9175DE6-EE60-4DB1-9E94-96580354E9C2}" srcOrd="0" destOrd="0" presId="urn:microsoft.com/office/officeart/2005/8/layout/cycle5"/>
    <dgm:cxn modelId="{E664C12B-CF6F-431E-AB82-BBBC7524D67D}" type="presOf" srcId="{B3C49ED6-1322-40C0-A8C0-3028047D64A3}" destId="{8E7B509A-633F-4159-8E48-AE8109995FEE}" srcOrd="0" destOrd="0" presId="urn:microsoft.com/office/officeart/2005/8/layout/cycle5"/>
    <dgm:cxn modelId="{A3567108-EEC1-46B8-A070-B5B4E5286C79}" srcId="{AC359D5C-BEFE-49E5-BB2B-E7A44FB67B76}" destId="{8E108F3B-D3E5-4008-A8A7-19C9B61FEEF5}" srcOrd="2" destOrd="0" parTransId="{E0FB5BC0-E8F1-4B24-88D3-8B6A1BBE61FE}" sibTransId="{B3C49ED6-1322-40C0-A8C0-3028047D64A3}"/>
    <dgm:cxn modelId="{C96A6D61-C9D9-42FF-9B6F-8D83850ADAD2}" type="presOf" srcId="{0DD68050-EEF8-4BE5-BF04-861AA695A66F}" destId="{F2C45BC6-8B25-4006-9383-3C42C9B0ED39}" srcOrd="0" destOrd="0" presId="urn:microsoft.com/office/officeart/2005/8/layout/cycle5"/>
    <dgm:cxn modelId="{2B03CC28-7C2C-4C7B-A333-819570267FB9}" type="presOf" srcId="{7EC49120-B8F5-4C73-99D0-12FC72C59B4E}" destId="{B6AF3C0C-CE30-4D79-AAF4-927B311BA305}" srcOrd="0" destOrd="0" presId="urn:microsoft.com/office/officeart/2005/8/layout/cycle5"/>
    <dgm:cxn modelId="{FC05555B-A11C-436F-94C6-BC241998C192}" type="presOf" srcId="{AC359D5C-BEFE-49E5-BB2B-E7A44FB67B76}" destId="{2E45525C-EF28-4354-BBC3-AF958CB83F91}" srcOrd="0" destOrd="0" presId="urn:microsoft.com/office/officeart/2005/8/layout/cycle5"/>
    <dgm:cxn modelId="{BA92A9A4-BF24-4290-894E-978A86681F8A}" type="presOf" srcId="{DCED33E9-CEEF-4011-A9F7-48DE6857A6B1}" destId="{D1CDA997-7ED4-499B-ABA6-EDF8C7682750}" srcOrd="0" destOrd="0" presId="urn:microsoft.com/office/officeart/2005/8/layout/cycle5"/>
    <dgm:cxn modelId="{A757D77E-E1C5-4677-AE69-EC444F5F8F04}" srcId="{AC359D5C-BEFE-49E5-BB2B-E7A44FB67B76}" destId="{6D30B33B-2B6F-4499-9457-593ABFFA119C}" srcOrd="3" destOrd="0" parTransId="{29AC47E0-BAE9-418C-82D5-98F786452392}" sibTransId="{7EC49120-B8F5-4C73-99D0-12FC72C59B4E}"/>
    <dgm:cxn modelId="{0C74D915-6A37-4578-9114-A8B5FFFC00AB}" type="presOf" srcId="{8E108F3B-D3E5-4008-A8A7-19C9B61FEEF5}" destId="{EA829154-6DF3-4C51-A01E-F3F91AB5A02C}" srcOrd="0" destOrd="0" presId="urn:microsoft.com/office/officeart/2005/8/layout/cycle5"/>
    <dgm:cxn modelId="{C47953AE-09D7-4F1B-9ECD-07F08B2BDFCD}" type="presOf" srcId="{6D30B33B-2B6F-4499-9457-593ABFFA119C}" destId="{AAC3BD64-15A0-477D-96A5-44AD32E7B3BA}" srcOrd="0" destOrd="0" presId="urn:microsoft.com/office/officeart/2005/8/layout/cycle5"/>
    <dgm:cxn modelId="{D4B04A52-32AF-483F-91EE-6381757597F2}" type="presParOf" srcId="{2E45525C-EF28-4354-BBC3-AF958CB83F91}" destId="{D1CDA997-7ED4-499B-ABA6-EDF8C7682750}" srcOrd="0" destOrd="0" presId="urn:microsoft.com/office/officeart/2005/8/layout/cycle5"/>
    <dgm:cxn modelId="{1C134F80-A35E-41D7-B600-F06C8CBD60EC}" type="presParOf" srcId="{2E45525C-EF28-4354-BBC3-AF958CB83F91}" destId="{07FBAA36-6376-4AAF-B8B5-ADFFF11C1D0F}" srcOrd="1" destOrd="0" presId="urn:microsoft.com/office/officeart/2005/8/layout/cycle5"/>
    <dgm:cxn modelId="{E15D5F6E-2694-431D-975D-AC3A17C4EAA4}" type="presParOf" srcId="{2E45525C-EF28-4354-BBC3-AF958CB83F91}" destId="{606A454C-3C86-4A9D-9249-47414F420CAE}" srcOrd="2" destOrd="0" presId="urn:microsoft.com/office/officeart/2005/8/layout/cycle5"/>
    <dgm:cxn modelId="{A733B13E-03C7-43DB-8CB8-42039AF92A2D}" type="presParOf" srcId="{2E45525C-EF28-4354-BBC3-AF958CB83F91}" destId="{9AFD55B3-76FE-4337-A82A-9B9CFD6EA1D5}" srcOrd="3" destOrd="0" presId="urn:microsoft.com/office/officeart/2005/8/layout/cycle5"/>
    <dgm:cxn modelId="{1BC2C73C-B67F-4214-B002-2B99DFDBA4F0}" type="presParOf" srcId="{2E45525C-EF28-4354-BBC3-AF958CB83F91}" destId="{F0E780FB-02C6-47D4-8163-E9B62B6D932B}" srcOrd="4" destOrd="0" presId="urn:microsoft.com/office/officeart/2005/8/layout/cycle5"/>
    <dgm:cxn modelId="{E24AE1EA-8B9B-487A-BE31-60A8734B599E}" type="presParOf" srcId="{2E45525C-EF28-4354-BBC3-AF958CB83F91}" destId="{F30B10A1-7503-4C15-A0E0-16036744EDF0}" srcOrd="5" destOrd="0" presId="urn:microsoft.com/office/officeart/2005/8/layout/cycle5"/>
    <dgm:cxn modelId="{860E2AC0-34DB-4154-B64D-D64F9D8B48BE}" type="presParOf" srcId="{2E45525C-EF28-4354-BBC3-AF958CB83F91}" destId="{EA829154-6DF3-4C51-A01E-F3F91AB5A02C}" srcOrd="6" destOrd="0" presId="urn:microsoft.com/office/officeart/2005/8/layout/cycle5"/>
    <dgm:cxn modelId="{CD312765-791C-4531-B1B3-738B6642F431}" type="presParOf" srcId="{2E45525C-EF28-4354-BBC3-AF958CB83F91}" destId="{59B02D44-2AB2-419F-81E5-D546D7F5F95C}" srcOrd="7" destOrd="0" presId="urn:microsoft.com/office/officeart/2005/8/layout/cycle5"/>
    <dgm:cxn modelId="{AD495934-DC86-4950-948A-1FA496290047}" type="presParOf" srcId="{2E45525C-EF28-4354-BBC3-AF958CB83F91}" destId="{8E7B509A-633F-4159-8E48-AE8109995FEE}" srcOrd="8" destOrd="0" presId="urn:microsoft.com/office/officeart/2005/8/layout/cycle5"/>
    <dgm:cxn modelId="{E97F4922-5CD3-4956-A343-F1A7CF7CDEA6}" type="presParOf" srcId="{2E45525C-EF28-4354-BBC3-AF958CB83F91}" destId="{AAC3BD64-15A0-477D-96A5-44AD32E7B3BA}" srcOrd="9" destOrd="0" presId="urn:microsoft.com/office/officeart/2005/8/layout/cycle5"/>
    <dgm:cxn modelId="{906DB89B-0C6D-4687-958E-B2E55E824900}" type="presParOf" srcId="{2E45525C-EF28-4354-BBC3-AF958CB83F91}" destId="{873B6E86-833E-4DC7-81DF-744F4D9FC015}" srcOrd="10" destOrd="0" presId="urn:microsoft.com/office/officeart/2005/8/layout/cycle5"/>
    <dgm:cxn modelId="{EAC32A0E-9327-450E-B4FB-00B0A5206EF3}" type="presParOf" srcId="{2E45525C-EF28-4354-BBC3-AF958CB83F91}" destId="{B6AF3C0C-CE30-4D79-AAF4-927B311BA305}" srcOrd="11" destOrd="0" presId="urn:microsoft.com/office/officeart/2005/8/layout/cycle5"/>
    <dgm:cxn modelId="{546E165F-0D7F-4C37-B5F3-E48E02877CF2}" type="presParOf" srcId="{2E45525C-EF28-4354-BBC3-AF958CB83F91}" destId="{F9175DE6-EE60-4DB1-9E94-96580354E9C2}" srcOrd="12" destOrd="0" presId="urn:microsoft.com/office/officeart/2005/8/layout/cycle5"/>
    <dgm:cxn modelId="{BB08123D-C8A9-4DE2-9BF1-385C5E50380A}" type="presParOf" srcId="{2E45525C-EF28-4354-BBC3-AF958CB83F91}" destId="{1D4896AA-3E21-4371-B22C-5941DFC185EE}" srcOrd="13" destOrd="0" presId="urn:microsoft.com/office/officeart/2005/8/layout/cycle5"/>
    <dgm:cxn modelId="{2DF78D29-0F37-4E03-ADFA-4F031F9A49F9}" type="presParOf" srcId="{2E45525C-EF28-4354-BBC3-AF958CB83F91}" destId="{F2C45BC6-8B25-4006-9383-3C42C9B0ED39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CDA997-7ED4-499B-ABA6-EDF8C7682750}">
      <dsp:nvSpPr>
        <dsp:cNvPr id="0" name=""/>
        <dsp:cNvSpPr/>
      </dsp:nvSpPr>
      <dsp:spPr>
        <a:xfrm>
          <a:off x="2089524" y="1019"/>
          <a:ext cx="927615" cy="60295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Monitoring data collected</a:t>
          </a:r>
        </a:p>
      </dsp:txBody>
      <dsp:txXfrm>
        <a:off x="2118958" y="30453"/>
        <a:ext cx="868747" cy="544082"/>
      </dsp:txXfrm>
    </dsp:sp>
    <dsp:sp modelId="{606A454C-3C86-4A9D-9249-47414F420CAE}">
      <dsp:nvSpPr>
        <dsp:cNvPr id="0" name=""/>
        <dsp:cNvSpPr/>
      </dsp:nvSpPr>
      <dsp:spPr>
        <a:xfrm>
          <a:off x="1347236" y="302494"/>
          <a:ext cx="2412192" cy="2412192"/>
        </a:xfrm>
        <a:custGeom>
          <a:avLst/>
          <a:gdLst/>
          <a:ahLst/>
          <a:cxnLst/>
          <a:rect l="0" t="0" r="0" b="0"/>
          <a:pathLst>
            <a:path>
              <a:moveTo>
                <a:pt x="1794531" y="153284"/>
              </a:moveTo>
              <a:arcTo wR="1206096" hR="1206096" stAng="17952097" swAng="121366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FD55B3-76FE-4337-A82A-9B9CFD6EA1D5}">
      <dsp:nvSpPr>
        <dsp:cNvPr id="0" name=""/>
        <dsp:cNvSpPr/>
      </dsp:nvSpPr>
      <dsp:spPr>
        <a:xfrm>
          <a:off x="3236589" y="834411"/>
          <a:ext cx="927615" cy="60295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Data analyzed and summarized</a:t>
          </a:r>
        </a:p>
      </dsp:txBody>
      <dsp:txXfrm>
        <a:off x="3266023" y="863845"/>
        <a:ext cx="868747" cy="544082"/>
      </dsp:txXfrm>
    </dsp:sp>
    <dsp:sp modelId="{F30B10A1-7503-4C15-A0E0-16036744EDF0}">
      <dsp:nvSpPr>
        <dsp:cNvPr id="0" name=""/>
        <dsp:cNvSpPr/>
      </dsp:nvSpPr>
      <dsp:spPr>
        <a:xfrm>
          <a:off x="1348668" y="323569"/>
          <a:ext cx="2412192" cy="2412192"/>
        </a:xfrm>
        <a:custGeom>
          <a:avLst/>
          <a:gdLst/>
          <a:ahLst/>
          <a:cxnLst/>
          <a:rect l="0" t="0" r="0" b="0"/>
          <a:pathLst>
            <a:path>
              <a:moveTo>
                <a:pt x="2411877" y="1233664"/>
              </a:moveTo>
              <a:arcTo wR="1206096" hR="1206096" stAng="21678584" swAng="104394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829154-6DF3-4C51-A01E-F3F91AB5A02C}">
      <dsp:nvSpPr>
        <dsp:cNvPr id="0" name=""/>
        <dsp:cNvSpPr/>
      </dsp:nvSpPr>
      <dsp:spPr>
        <a:xfrm>
          <a:off x="2634005" y="2028057"/>
          <a:ext cx="1633448" cy="602950"/>
        </a:xfrm>
        <a:prstGeom prst="roundRect">
          <a:avLst/>
        </a:prstGeom>
        <a:noFill/>
        <a:ln w="25400" cap="flat" cmpd="sng" algn="ctr">
          <a:solidFill>
            <a:srgbClr val="F7964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Summaries made easy to understand by all stakeholders</a:t>
          </a:r>
        </a:p>
      </dsp:txBody>
      <dsp:txXfrm>
        <a:off x="2663439" y="2057491"/>
        <a:ext cx="1574580" cy="544082"/>
      </dsp:txXfrm>
    </dsp:sp>
    <dsp:sp modelId="{8E7B509A-633F-4159-8E48-AE8109995FEE}">
      <dsp:nvSpPr>
        <dsp:cNvPr id="0" name=""/>
        <dsp:cNvSpPr/>
      </dsp:nvSpPr>
      <dsp:spPr>
        <a:xfrm>
          <a:off x="1299010" y="335089"/>
          <a:ext cx="2412192" cy="2412192"/>
        </a:xfrm>
        <a:custGeom>
          <a:avLst/>
          <a:gdLst/>
          <a:ahLst/>
          <a:cxnLst/>
          <a:rect l="0" t="0" r="0" b="0"/>
          <a:pathLst>
            <a:path>
              <a:moveTo>
                <a:pt x="1509635" y="2373371"/>
              </a:moveTo>
              <a:arcTo wR="1206096" hR="1206096" stAng="4525416" swAng="207532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C3BD64-15A0-477D-96A5-44AD32E7B3BA}">
      <dsp:nvSpPr>
        <dsp:cNvPr id="0" name=""/>
        <dsp:cNvSpPr/>
      </dsp:nvSpPr>
      <dsp:spPr>
        <a:xfrm>
          <a:off x="830191" y="1974209"/>
          <a:ext cx="1449557" cy="602950"/>
        </a:xfrm>
        <a:prstGeom prst="roundRect">
          <a:avLst/>
        </a:prstGeom>
        <a:noFill/>
        <a:ln w="25400" cap="flat" cmpd="sng" algn="ctr">
          <a:solidFill>
            <a:srgbClr val="F7964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chemeClr val="tx1"/>
              </a:solidFill>
            </a:rPr>
            <a:t>Findings presented to Program Management, Host  Government, Donor AND community</a:t>
          </a:r>
        </a:p>
      </dsp:txBody>
      <dsp:txXfrm>
        <a:off x="859625" y="2003643"/>
        <a:ext cx="1390689" cy="544082"/>
      </dsp:txXfrm>
    </dsp:sp>
    <dsp:sp modelId="{B6AF3C0C-CE30-4D79-AAF4-927B311BA305}">
      <dsp:nvSpPr>
        <dsp:cNvPr id="0" name=""/>
        <dsp:cNvSpPr/>
      </dsp:nvSpPr>
      <dsp:spPr>
        <a:xfrm>
          <a:off x="1333697" y="424893"/>
          <a:ext cx="2412192" cy="2412192"/>
        </a:xfrm>
        <a:custGeom>
          <a:avLst/>
          <a:gdLst/>
          <a:ahLst/>
          <a:cxnLst/>
          <a:rect l="0" t="0" r="0" b="0"/>
          <a:pathLst>
            <a:path>
              <a:moveTo>
                <a:pt x="23887" y="1444948"/>
              </a:moveTo>
              <a:arcTo wR="1206096" hR="1206096" stAng="10114666" swAng="93297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175DE6-EE60-4DB1-9E94-96580354E9C2}">
      <dsp:nvSpPr>
        <dsp:cNvPr id="0" name=""/>
        <dsp:cNvSpPr/>
      </dsp:nvSpPr>
      <dsp:spPr>
        <a:xfrm>
          <a:off x="682114" y="834411"/>
          <a:ext cx="1448305" cy="602950"/>
        </a:xfrm>
        <a:prstGeom prst="roundRect">
          <a:avLst/>
        </a:prstGeom>
        <a:noFill/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chemeClr val="tx1"/>
              </a:solidFill>
            </a:rPr>
            <a:t>Based on feedback received, follow-up actions determined and implemented</a:t>
          </a:r>
        </a:p>
      </dsp:txBody>
      <dsp:txXfrm>
        <a:off x="711548" y="863845"/>
        <a:ext cx="1389437" cy="544082"/>
      </dsp:txXfrm>
    </dsp:sp>
    <dsp:sp modelId="{F2C45BC6-8B25-4006-9383-3C42C9B0ED39}">
      <dsp:nvSpPr>
        <dsp:cNvPr id="0" name=""/>
        <dsp:cNvSpPr/>
      </dsp:nvSpPr>
      <dsp:spPr>
        <a:xfrm>
          <a:off x="1347236" y="302494"/>
          <a:ext cx="2412192" cy="2412192"/>
        </a:xfrm>
        <a:custGeom>
          <a:avLst/>
          <a:gdLst/>
          <a:ahLst/>
          <a:cxnLst/>
          <a:rect l="0" t="0" r="0" b="0"/>
          <a:pathLst>
            <a:path>
              <a:moveTo>
                <a:pt x="289940" y="421668"/>
              </a:moveTo>
              <a:arcTo wR="1206096" hR="1206096" stAng="13234240" swAng="121366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21D96-0F89-4822-B2A5-08A00DA0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8</cp:revision>
  <cp:lastPrinted>2016-06-03T21:05:00Z</cp:lastPrinted>
  <dcterms:created xsi:type="dcterms:W3CDTF">2017-03-14T10:53:00Z</dcterms:created>
  <dcterms:modified xsi:type="dcterms:W3CDTF">2017-03-14T11:07:00Z</dcterms:modified>
</cp:coreProperties>
</file>