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6D1" w:rsidRPr="00D8054A" w:rsidRDefault="00D8054A" w:rsidP="00C04CE0">
      <w:pPr>
        <w:spacing w:before="0" w:after="200" w:line="252" w:lineRule="auto"/>
        <w:rPr>
          <w:lang w:val="fr-FR"/>
        </w:rPr>
      </w:pPr>
      <w:r w:rsidRPr="00D8054A">
        <w:rPr>
          <w:lang w:val="fr-FR"/>
        </w:rPr>
        <w:t xml:space="preserve">Un </w:t>
      </w:r>
      <w:r w:rsidRPr="00D8054A">
        <w:rPr>
          <w:b/>
          <w:lang w:val="fr-FR"/>
        </w:rPr>
        <w:t>mécanisme de rétroaction</w:t>
      </w:r>
      <w:r w:rsidRPr="00D8054A">
        <w:rPr>
          <w:lang w:val="fr-FR"/>
        </w:rPr>
        <w:t xml:space="preserve"> permet aux récipiendaire</w:t>
      </w:r>
      <w:r>
        <w:rPr>
          <w:lang w:val="fr-FR"/>
        </w:rPr>
        <w:t>s</w:t>
      </w:r>
      <w:r w:rsidRPr="00D8054A">
        <w:rPr>
          <w:lang w:val="fr-FR"/>
        </w:rPr>
        <w:t xml:space="preserve"> d'exprimer leurs préoccupations ou leur mécontentement à l'égard du processus de distribution des vivres (par exemple, la distance au FDP ou l'impolitesse du personnel de distribution) ou la qualité ou la taille de la ration. Les mécanismes de rétroaction courants sont des </w:t>
      </w:r>
      <w:r w:rsidRPr="00D8054A">
        <w:rPr>
          <w:b/>
          <w:lang w:val="fr-FR"/>
        </w:rPr>
        <w:t>boîtes à suggestions</w:t>
      </w:r>
      <w:r w:rsidRPr="00D8054A">
        <w:rPr>
          <w:lang w:val="fr-FR"/>
        </w:rPr>
        <w:t xml:space="preserve"> ou des </w:t>
      </w:r>
      <w:r w:rsidRPr="00D8054A">
        <w:rPr>
          <w:b/>
          <w:lang w:val="fr-FR"/>
        </w:rPr>
        <w:t>bureaux d'aide</w:t>
      </w:r>
      <w:r>
        <w:rPr>
          <w:b/>
          <w:lang w:val="fr-FR"/>
        </w:rPr>
        <w:t>s</w:t>
      </w:r>
      <w:r w:rsidRPr="00D8054A">
        <w:rPr>
          <w:lang w:val="fr-FR"/>
        </w:rPr>
        <w:t xml:space="preserve"> situés sur le site de distribution</w:t>
      </w:r>
      <w:r w:rsidR="00EB35E8" w:rsidRPr="00D8054A">
        <w:rPr>
          <w:lang w:val="fr-FR"/>
        </w:rPr>
        <w:t>.</w:t>
      </w:r>
    </w:p>
    <w:p w:rsidR="00507CE3" w:rsidRPr="000B615D" w:rsidRDefault="000B615D" w:rsidP="00C04CE0">
      <w:pPr>
        <w:spacing w:before="0" w:after="200" w:line="252" w:lineRule="auto"/>
        <w:rPr>
          <w:lang w:val="fr-FR"/>
        </w:rPr>
      </w:pPr>
      <w:r w:rsidRPr="000B615D">
        <w:rPr>
          <w:lang w:val="fr-FR"/>
        </w:rPr>
        <w:t xml:space="preserve">Un </w:t>
      </w:r>
      <w:r w:rsidRPr="000B615D">
        <w:rPr>
          <w:b/>
          <w:lang w:val="fr-FR"/>
        </w:rPr>
        <w:t>mécanisme de plainte</w:t>
      </w:r>
      <w:r w:rsidRPr="000B615D">
        <w:rPr>
          <w:lang w:val="fr-FR"/>
        </w:rPr>
        <w:t xml:space="preserve"> permet aux récipiendair</w:t>
      </w:r>
      <w:r>
        <w:rPr>
          <w:lang w:val="fr-FR"/>
        </w:rPr>
        <w:t>es</w:t>
      </w:r>
      <w:r w:rsidRPr="000B615D">
        <w:rPr>
          <w:lang w:val="fr-FR"/>
        </w:rPr>
        <w:t xml:space="preserve"> de signaler de manière </w:t>
      </w:r>
      <w:r w:rsidRPr="000B615D">
        <w:rPr>
          <w:b/>
          <w:lang w:val="fr-FR"/>
        </w:rPr>
        <w:t>confidentielle l</w:t>
      </w:r>
      <w:r w:rsidR="00900030">
        <w:rPr>
          <w:b/>
          <w:lang w:val="fr-FR"/>
        </w:rPr>
        <w:t>es cas de</w:t>
      </w:r>
      <w:r w:rsidRPr="000B615D">
        <w:rPr>
          <w:b/>
          <w:lang w:val="fr-FR"/>
        </w:rPr>
        <w:t xml:space="preserve"> corruption ou </w:t>
      </w:r>
      <w:r w:rsidR="00900030">
        <w:rPr>
          <w:b/>
          <w:lang w:val="fr-FR"/>
        </w:rPr>
        <w:t>d</w:t>
      </w:r>
      <w:r w:rsidRPr="000B615D">
        <w:rPr>
          <w:b/>
          <w:lang w:val="fr-FR"/>
        </w:rPr>
        <w:t>'abus de pouvoir</w:t>
      </w:r>
      <w:r w:rsidRPr="000B615D">
        <w:rPr>
          <w:lang w:val="fr-FR"/>
        </w:rPr>
        <w:t xml:space="preserve"> (en particulier en ce qui concerne l'exploitation sexuelle), et de réclamer une réparation. Un mécanisme de plainte peut être formel ou informel, écrit ou verbal, signé ou anonyme, mais il doit toujours être culturellement et politiquement approprié. Des exemples de mécanismes de plaintes comprennent des comités de plaintes, une boîte fermée à clé, une ligne téléphonique directe ou des plaintes directes adressées aux membres du personnel du projet formés pour agir comme</w:t>
      </w:r>
      <w:r w:rsidR="00900030" w:rsidRPr="000B615D">
        <w:rPr>
          <w:lang w:val="fr-FR"/>
        </w:rPr>
        <w:t xml:space="preserve"> « points</w:t>
      </w:r>
      <w:r w:rsidRPr="000B615D">
        <w:rPr>
          <w:lang w:val="fr-FR"/>
        </w:rPr>
        <w:t xml:space="preserve"> </w:t>
      </w:r>
      <w:r w:rsidR="00900030" w:rsidRPr="000B615D">
        <w:rPr>
          <w:lang w:val="fr-FR"/>
        </w:rPr>
        <w:t>focaux », recevant</w:t>
      </w:r>
      <w:r w:rsidRPr="000B615D">
        <w:rPr>
          <w:lang w:val="fr-FR"/>
        </w:rPr>
        <w:t xml:space="preserve"> des plaintes de manière sensible et sans jugement, et assurant la sécurité du plaignant. Ne pas obliger les récipiendaires à se plaindre par l'intermédiaire des autorités ou des responsables locaux, qui peuvent eux-mêmes être la source de la corruption</w:t>
      </w:r>
      <w:r w:rsidR="001922C3" w:rsidRPr="000B615D">
        <w:rPr>
          <w:lang w:val="fr-FR"/>
        </w:rPr>
        <w:t>.</w:t>
      </w:r>
    </w:p>
    <w:p w:rsidR="000B615D" w:rsidRPr="000B615D" w:rsidRDefault="000B615D" w:rsidP="00D63DB6">
      <w:pPr>
        <w:numPr>
          <w:ilvl w:val="0"/>
          <w:numId w:val="1"/>
        </w:numPr>
        <w:spacing w:before="0" w:line="252" w:lineRule="auto"/>
        <w:ind w:left="360"/>
        <w:rPr>
          <w:lang w:val="fr-FR"/>
        </w:rPr>
      </w:pPr>
      <w:r w:rsidRPr="000B615D">
        <w:rPr>
          <w:lang w:val="fr-FR"/>
        </w:rPr>
        <w:t>Les mécanismes de rétroaction et de plainte aident à instaurer une culture de transparence et de responsabilisation et à améliorer la qualité du programme.</w:t>
      </w:r>
    </w:p>
    <w:p w:rsidR="000B615D" w:rsidRPr="000B615D" w:rsidRDefault="000B615D" w:rsidP="00D63DB6">
      <w:pPr>
        <w:numPr>
          <w:ilvl w:val="0"/>
          <w:numId w:val="1"/>
        </w:numPr>
        <w:spacing w:before="0" w:line="252" w:lineRule="auto"/>
        <w:ind w:left="360"/>
        <w:rPr>
          <w:lang w:val="fr-FR"/>
        </w:rPr>
      </w:pPr>
      <w:r>
        <w:rPr>
          <w:lang w:val="fr-FR"/>
        </w:rPr>
        <w:t>C</w:t>
      </w:r>
      <w:r w:rsidRPr="000B615D">
        <w:rPr>
          <w:lang w:val="fr-FR"/>
        </w:rPr>
        <w:t xml:space="preserve">es deux mécanismes devraient être en place dans les programmes de distribution de </w:t>
      </w:r>
      <w:r>
        <w:rPr>
          <w:lang w:val="fr-FR"/>
        </w:rPr>
        <w:t>vivres</w:t>
      </w:r>
      <w:r w:rsidRPr="000B615D">
        <w:rPr>
          <w:lang w:val="fr-FR"/>
        </w:rPr>
        <w:t xml:space="preserve"> alimentaires.</w:t>
      </w:r>
    </w:p>
    <w:p w:rsidR="000B615D" w:rsidRPr="000B615D" w:rsidRDefault="000B615D" w:rsidP="00D63DB6">
      <w:pPr>
        <w:numPr>
          <w:ilvl w:val="0"/>
          <w:numId w:val="1"/>
        </w:numPr>
        <w:spacing w:before="0" w:line="252" w:lineRule="auto"/>
        <w:ind w:left="360"/>
        <w:rPr>
          <w:lang w:val="fr-FR"/>
        </w:rPr>
      </w:pPr>
      <w:r w:rsidRPr="000B615D">
        <w:rPr>
          <w:lang w:val="fr-FR"/>
        </w:rPr>
        <w:t xml:space="preserve">Dans la mesure du possible, </w:t>
      </w:r>
      <w:r>
        <w:rPr>
          <w:lang w:val="fr-FR"/>
        </w:rPr>
        <w:t>implante</w:t>
      </w:r>
      <w:r w:rsidR="001370A2">
        <w:rPr>
          <w:lang w:val="fr-FR"/>
        </w:rPr>
        <w:t>r</w:t>
      </w:r>
      <w:r w:rsidRPr="000B615D">
        <w:rPr>
          <w:lang w:val="fr-FR"/>
        </w:rPr>
        <w:t xml:space="preserve"> des mécanismes sur les systèmes locaux existants plutôt que de mettre en place des mécanismes parallèles.</w:t>
      </w:r>
    </w:p>
    <w:p w:rsidR="000B615D" w:rsidRPr="000B615D" w:rsidRDefault="000B615D" w:rsidP="00D63DB6">
      <w:pPr>
        <w:numPr>
          <w:ilvl w:val="0"/>
          <w:numId w:val="1"/>
        </w:numPr>
        <w:spacing w:before="0" w:line="252" w:lineRule="auto"/>
        <w:ind w:left="360"/>
        <w:rPr>
          <w:lang w:val="fr-FR"/>
        </w:rPr>
      </w:pPr>
      <w:r w:rsidRPr="000B615D">
        <w:rPr>
          <w:lang w:val="fr-FR"/>
        </w:rPr>
        <w:t xml:space="preserve">Informer </w:t>
      </w:r>
      <w:r w:rsidR="00900030">
        <w:rPr>
          <w:lang w:val="fr-FR"/>
        </w:rPr>
        <w:t xml:space="preserve">sans tarder </w:t>
      </w:r>
      <w:r w:rsidRPr="000B615D">
        <w:rPr>
          <w:lang w:val="fr-FR"/>
        </w:rPr>
        <w:t>la communauté sur les mécanismes de rétroaction et de plainte, leurs buts et leur utilisation, et ce qui constitue une plainte (par opposition à la rétroaction).</w:t>
      </w:r>
    </w:p>
    <w:p w:rsidR="000121B9" w:rsidRPr="00E53DD5" w:rsidRDefault="000B615D" w:rsidP="00D63DB6">
      <w:pPr>
        <w:numPr>
          <w:ilvl w:val="0"/>
          <w:numId w:val="1"/>
        </w:numPr>
        <w:spacing w:before="0" w:line="252" w:lineRule="auto"/>
        <w:ind w:left="360"/>
        <w:rPr>
          <w:lang w:val="fr-FR"/>
        </w:rPr>
      </w:pPr>
      <w:r w:rsidRPr="000B615D">
        <w:rPr>
          <w:lang w:val="fr-FR"/>
        </w:rPr>
        <w:t>Répondre rapidement aux commentaires et aux réclamations valides. Précise</w:t>
      </w:r>
      <w:r w:rsidR="001370A2">
        <w:rPr>
          <w:lang w:val="fr-FR"/>
        </w:rPr>
        <w:t>r</w:t>
      </w:r>
      <w:r w:rsidRPr="000B615D">
        <w:rPr>
          <w:lang w:val="fr-FR"/>
        </w:rPr>
        <w:t xml:space="preserve"> un calendrier et documente</w:t>
      </w:r>
      <w:r w:rsidR="001370A2">
        <w:rPr>
          <w:lang w:val="fr-FR"/>
        </w:rPr>
        <w:t>r</w:t>
      </w:r>
      <w:r w:rsidRPr="000B615D">
        <w:rPr>
          <w:lang w:val="fr-FR"/>
        </w:rPr>
        <w:t xml:space="preserve"> l'enquête à toutes les </w:t>
      </w:r>
      <w:r w:rsidR="00900030" w:rsidRPr="000B615D">
        <w:rPr>
          <w:lang w:val="fr-FR"/>
        </w:rPr>
        <w:t>étapes :</w:t>
      </w:r>
      <w:r w:rsidRPr="000B615D">
        <w:rPr>
          <w:lang w:val="fr-FR"/>
        </w:rPr>
        <w:t xml:space="preserve"> collecte de preuves, entrevue, rapport et </w:t>
      </w:r>
      <w:r w:rsidR="000A36CC">
        <w:rPr>
          <w:lang w:val="fr-FR"/>
        </w:rPr>
        <w:t>observations</w:t>
      </w:r>
      <w:bookmarkStart w:id="0" w:name="_GoBack"/>
      <w:bookmarkEnd w:id="0"/>
      <w:r w:rsidRPr="000B615D">
        <w:rPr>
          <w:lang w:val="fr-FR"/>
        </w:rPr>
        <w:t xml:space="preserve"> et mise en œuvre ou appel (par l'une ou l'autre partie). </w:t>
      </w:r>
      <w:r w:rsidRPr="00E53DD5">
        <w:rPr>
          <w:lang w:val="fr-FR"/>
        </w:rPr>
        <w:t>Ten</w:t>
      </w:r>
      <w:r w:rsidR="001370A2">
        <w:rPr>
          <w:lang w:val="fr-FR"/>
        </w:rPr>
        <w:t>ir</w:t>
      </w:r>
      <w:r w:rsidRPr="00E53DD5">
        <w:rPr>
          <w:lang w:val="fr-FR"/>
        </w:rPr>
        <w:t xml:space="preserve"> les plaignants pleinement informés</w:t>
      </w:r>
      <w:r w:rsidR="000121B9" w:rsidRPr="00E53DD5">
        <w:rPr>
          <w:lang w:val="fr-FR"/>
        </w:rPr>
        <w:t>.</w:t>
      </w:r>
    </w:p>
    <w:p w:rsidR="000121B9" w:rsidRPr="00A66BE0" w:rsidRDefault="00900030" w:rsidP="00C04CE0">
      <w:pPr>
        <w:spacing w:before="0" w:after="200" w:line="252" w:lineRule="auto"/>
        <w:rPr>
          <w:b/>
          <w:bCs/>
          <w:color w:val="237990"/>
          <w:lang w:val="fr-FR"/>
        </w:rPr>
      </w:pPr>
      <w:r w:rsidRPr="00A66BE0">
        <w:rPr>
          <w:b/>
          <w:bCs/>
          <w:color w:val="237990"/>
          <w:lang w:val="fr-FR"/>
        </w:rPr>
        <w:t>R</w:t>
      </w:r>
      <w:r w:rsidR="000B615D" w:rsidRPr="00A66BE0">
        <w:rPr>
          <w:b/>
          <w:bCs/>
          <w:color w:val="237990"/>
          <w:lang w:val="fr-FR"/>
        </w:rPr>
        <w:t>éférence</w:t>
      </w:r>
      <w:r w:rsidRPr="00A66BE0">
        <w:rPr>
          <w:b/>
          <w:bCs/>
          <w:color w:val="237990"/>
          <w:lang w:val="fr-FR"/>
        </w:rPr>
        <w:t>s</w:t>
      </w:r>
    </w:p>
    <w:p w:rsidR="000121B9" w:rsidRPr="008F24F0" w:rsidRDefault="000121B9" w:rsidP="00C04CE0">
      <w:pPr>
        <w:spacing w:before="0" w:after="200" w:line="252" w:lineRule="auto"/>
        <w:rPr>
          <w:iCs/>
          <w:color w:val="237990"/>
        </w:rPr>
      </w:pPr>
      <w:r w:rsidRPr="00C04CE0">
        <w:rPr>
          <w:iCs/>
        </w:rPr>
        <w:t>Bond and One World Trust:</w:t>
      </w:r>
      <w:r w:rsidRPr="00C04CE0">
        <w:rPr>
          <w:i/>
          <w:iCs/>
        </w:rPr>
        <w:t xml:space="preserve"> Self-Assessment Questionnaire for Complaint and Response Mechanisms, </w:t>
      </w:r>
      <w:r w:rsidRPr="00C04CE0">
        <w:rPr>
          <w:iCs/>
        </w:rPr>
        <w:t>London 2007.</w:t>
      </w:r>
      <w:r w:rsidRPr="00C04CE0">
        <w:rPr>
          <w:i/>
          <w:iCs/>
        </w:rPr>
        <w:t xml:space="preserve">  </w:t>
      </w:r>
      <w:hyperlink r:id="rId7" w:history="1">
        <w:r w:rsidRPr="008F24F0">
          <w:rPr>
            <w:rStyle w:val="Hyperlink"/>
            <w:iCs/>
            <w:color w:val="237990"/>
            <w:sz w:val="20"/>
            <w:szCs w:val="20"/>
          </w:rPr>
          <w:t>www.oneworldtrust.org/index.php?option=com_docman&amp;task=doc_download&amp;gid=120&amp;Itemid=59</w:t>
        </w:r>
      </w:hyperlink>
      <w:r w:rsidRPr="008F24F0">
        <w:rPr>
          <w:iCs/>
          <w:color w:val="237990"/>
          <w:sz w:val="20"/>
          <w:szCs w:val="20"/>
        </w:rPr>
        <w:t xml:space="preserve"> </w:t>
      </w:r>
    </w:p>
    <w:p w:rsidR="000121B9" w:rsidRPr="008F24F0" w:rsidRDefault="000121B9" w:rsidP="00C04CE0">
      <w:pPr>
        <w:spacing w:before="0" w:after="200" w:line="252" w:lineRule="auto"/>
        <w:rPr>
          <w:iCs/>
          <w:color w:val="237990"/>
        </w:rPr>
      </w:pPr>
      <w:r w:rsidRPr="00C04CE0">
        <w:rPr>
          <w:iCs/>
        </w:rPr>
        <w:t>Danish Refugee Council (DRC):</w:t>
      </w:r>
      <w:r w:rsidRPr="00C04CE0">
        <w:rPr>
          <w:i/>
          <w:iCs/>
        </w:rPr>
        <w:t xml:space="preserve"> Complaints Mechanisms Handbook, </w:t>
      </w:r>
      <w:r w:rsidRPr="00C04CE0">
        <w:rPr>
          <w:iCs/>
        </w:rPr>
        <w:t>2008.</w:t>
      </w:r>
      <w:r w:rsidRPr="00C04CE0">
        <w:rPr>
          <w:i/>
          <w:iCs/>
        </w:rPr>
        <w:t xml:space="preserve"> </w:t>
      </w:r>
      <w:hyperlink r:id="rId8" w:history="1">
        <w:r w:rsidRPr="008F24F0">
          <w:rPr>
            <w:rStyle w:val="Hyperlink"/>
            <w:iCs/>
            <w:color w:val="237990"/>
            <w:sz w:val="20"/>
            <w:szCs w:val="20"/>
          </w:rPr>
          <w:t>http://www.drc.dk/fileadmin/uploads/pdf/IA_PDF/HAP/complaints_mechanism_handbook_2008.pdf</w:t>
        </w:r>
      </w:hyperlink>
      <w:r w:rsidRPr="008F24F0">
        <w:rPr>
          <w:iCs/>
          <w:color w:val="237990"/>
          <w:sz w:val="20"/>
          <w:szCs w:val="20"/>
        </w:rPr>
        <w:t xml:space="preserve"> </w:t>
      </w:r>
    </w:p>
    <w:p w:rsidR="000121B9" w:rsidRPr="00C04CE0" w:rsidRDefault="000121B9" w:rsidP="00C04CE0">
      <w:pPr>
        <w:spacing w:before="0" w:after="200" w:line="252" w:lineRule="auto"/>
        <w:rPr>
          <w:iCs/>
        </w:rPr>
      </w:pPr>
      <w:r w:rsidRPr="00C04CE0">
        <w:rPr>
          <w:iCs/>
        </w:rPr>
        <w:t>HAP International</w:t>
      </w:r>
      <w:r w:rsidRPr="00C04CE0">
        <w:rPr>
          <w:i/>
          <w:iCs/>
        </w:rPr>
        <w:t xml:space="preserve">: Benchmark 5: Complaints-handling, in “The Guide to the HAP Standard: Humanitarian Accountability and Quality Management, </w:t>
      </w:r>
      <w:r w:rsidRPr="00C04CE0">
        <w:rPr>
          <w:iCs/>
        </w:rPr>
        <w:t>Oxford 2008.</w:t>
      </w:r>
    </w:p>
    <w:p w:rsidR="000121B9" w:rsidRPr="00C04CE0" w:rsidRDefault="000121B9" w:rsidP="00C04CE0">
      <w:pPr>
        <w:spacing w:before="0" w:after="200" w:line="252" w:lineRule="auto"/>
        <w:rPr>
          <w:iCs/>
        </w:rPr>
      </w:pPr>
      <w:r w:rsidRPr="00C04CE0">
        <w:rPr>
          <w:iCs/>
        </w:rPr>
        <w:t>ICVA:</w:t>
      </w:r>
      <w:r w:rsidRPr="00C04CE0">
        <w:rPr>
          <w:i/>
          <w:iCs/>
        </w:rPr>
        <w:t xml:space="preserve"> Building Safer </w:t>
      </w:r>
      <w:proofErr w:type="spellStart"/>
      <w:r w:rsidRPr="00C04CE0">
        <w:rPr>
          <w:i/>
          <w:iCs/>
        </w:rPr>
        <w:t>Organisations</w:t>
      </w:r>
      <w:proofErr w:type="spellEnd"/>
      <w:r w:rsidRPr="00C04CE0">
        <w:rPr>
          <w:i/>
          <w:iCs/>
        </w:rPr>
        <w:t xml:space="preserve"> Guidelines: Receiving and investigating allegations of abuse and exploitation by humanitarian workers, </w:t>
      </w:r>
      <w:r w:rsidRPr="00C04CE0">
        <w:rPr>
          <w:iCs/>
        </w:rPr>
        <w:t xml:space="preserve">Geneva </w:t>
      </w:r>
      <w:proofErr w:type="spellStart"/>
      <w:r w:rsidRPr="00C04CE0">
        <w:rPr>
          <w:iCs/>
        </w:rPr>
        <w:t>n.d</w:t>
      </w:r>
      <w:proofErr w:type="spellEnd"/>
      <w:r w:rsidRPr="00C04CE0">
        <w:rPr>
          <w:iCs/>
        </w:rPr>
        <w:t xml:space="preserve">. </w:t>
      </w:r>
      <w:hyperlink r:id="rId9" w:history="1">
        <w:r w:rsidR="00B05212" w:rsidRPr="00B05212">
          <w:rPr>
            <w:rStyle w:val="Hyperlink"/>
            <w:color w:val="237990"/>
            <w:sz w:val="20"/>
            <w:szCs w:val="20"/>
          </w:rPr>
          <w:t>http://reliefweb.int/report/world/building-safer-organisations-guidelines-receiving-and-investigating-allegations-abuse</w:t>
        </w:r>
      </w:hyperlink>
      <w:r w:rsidR="00B05212">
        <w:t xml:space="preserve"> </w:t>
      </w:r>
      <w:r w:rsidRPr="008F24F0">
        <w:rPr>
          <w:iCs/>
          <w:color w:val="237990"/>
        </w:rPr>
        <w:t xml:space="preserve"> </w:t>
      </w:r>
    </w:p>
    <w:p w:rsidR="000121B9" w:rsidRPr="00C04CE0" w:rsidRDefault="000121B9" w:rsidP="00C04CE0">
      <w:pPr>
        <w:spacing w:before="0" w:after="200" w:line="252" w:lineRule="auto"/>
        <w:rPr>
          <w:iCs/>
        </w:rPr>
      </w:pPr>
      <w:r w:rsidRPr="00C04CE0">
        <w:rPr>
          <w:iCs/>
        </w:rPr>
        <w:t>ECB:</w:t>
      </w:r>
      <w:r w:rsidRPr="00C04CE0">
        <w:rPr>
          <w:i/>
          <w:iCs/>
        </w:rPr>
        <w:t xml:space="preserve"> Good Enough Guide: Impact Measurement and Accountability in Emergencies, </w:t>
      </w:r>
      <w:r w:rsidRPr="00C04CE0">
        <w:rPr>
          <w:iCs/>
        </w:rPr>
        <w:t>Oxfam, WV International, Oxford 2007.</w:t>
      </w:r>
    </w:p>
    <w:p w:rsidR="000121B9" w:rsidRPr="00B05212" w:rsidRDefault="000121B9" w:rsidP="00C04CE0">
      <w:pPr>
        <w:spacing w:before="0" w:after="200" w:line="252" w:lineRule="auto"/>
        <w:rPr>
          <w:iCs/>
        </w:rPr>
      </w:pPr>
      <w:proofErr w:type="spellStart"/>
      <w:r w:rsidRPr="00C04CE0">
        <w:rPr>
          <w:iCs/>
        </w:rPr>
        <w:t>Pepall</w:t>
      </w:r>
      <w:proofErr w:type="spellEnd"/>
      <w:r w:rsidRPr="00C04CE0">
        <w:rPr>
          <w:iCs/>
        </w:rPr>
        <w:t>, Joshua:</w:t>
      </w:r>
      <w:r w:rsidRPr="00C04CE0">
        <w:rPr>
          <w:i/>
          <w:iCs/>
        </w:rPr>
        <w:t xml:space="preserve"> Community Feedback System: Complaint Cards and Community Complaints Fact Sheet, </w:t>
      </w:r>
      <w:r w:rsidRPr="00C04CE0">
        <w:rPr>
          <w:iCs/>
        </w:rPr>
        <w:t>WV Sri Lanka, Lanka Tsunami Response Team (LTRT), 2006.</w:t>
      </w:r>
    </w:p>
    <w:sectPr w:rsidR="000121B9" w:rsidRPr="00B05212" w:rsidSect="000121B9">
      <w:headerReference w:type="default" r:id="rId10"/>
      <w:footerReference w:type="default" r:id="rId11"/>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09D8" w:rsidRDefault="002D09D8" w:rsidP="000121B9">
      <w:pPr>
        <w:spacing w:before="0" w:after="0"/>
      </w:pPr>
      <w:r>
        <w:separator/>
      </w:r>
    </w:p>
  </w:endnote>
  <w:endnote w:type="continuationSeparator" w:id="0">
    <w:p w:rsidR="002D09D8" w:rsidRDefault="002D09D8" w:rsidP="000121B9">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042871"/>
      <w:docPartObj>
        <w:docPartGallery w:val="Page Numbers (Bottom of Page)"/>
        <w:docPartUnique/>
      </w:docPartObj>
    </w:sdtPr>
    <w:sdtContent>
      <w:sdt>
        <w:sdtPr>
          <w:id w:val="565050477"/>
          <w:docPartObj>
            <w:docPartGallery w:val="Page Numbers (Top of Page)"/>
            <w:docPartUnique/>
          </w:docPartObj>
        </w:sdtPr>
        <w:sdtContent>
          <w:p w:rsidR="000121B9" w:rsidRPr="00C04CE0" w:rsidRDefault="000121B9">
            <w:pPr>
              <w:pStyle w:val="Footer"/>
              <w:jc w:val="center"/>
            </w:pPr>
            <w:r w:rsidRPr="00C04CE0">
              <w:t xml:space="preserve">Page </w:t>
            </w:r>
            <w:r w:rsidR="00F148CD" w:rsidRPr="00C04CE0">
              <w:fldChar w:fldCharType="begin"/>
            </w:r>
            <w:r w:rsidRPr="00C04CE0">
              <w:instrText xml:space="preserve"> PAGE </w:instrText>
            </w:r>
            <w:r w:rsidR="00F148CD" w:rsidRPr="00C04CE0">
              <w:fldChar w:fldCharType="separate"/>
            </w:r>
            <w:r w:rsidR="00D63DB6">
              <w:rPr>
                <w:noProof/>
              </w:rPr>
              <w:t>1</w:t>
            </w:r>
            <w:r w:rsidR="00F148CD" w:rsidRPr="00C04CE0">
              <w:fldChar w:fldCharType="end"/>
            </w:r>
            <w:r w:rsidRPr="00C04CE0">
              <w:t xml:space="preserve"> </w:t>
            </w:r>
            <w:r w:rsidR="00D63DB6">
              <w:t xml:space="preserve">/ </w:t>
            </w:r>
            <w:r w:rsidR="00F148CD" w:rsidRPr="00C04CE0">
              <w:fldChar w:fldCharType="begin"/>
            </w:r>
            <w:r w:rsidRPr="00C04CE0">
              <w:instrText xml:space="preserve"> NUMPAGES  </w:instrText>
            </w:r>
            <w:r w:rsidR="00F148CD" w:rsidRPr="00C04CE0">
              <w:fldChar w:fldCharType="separate"/>
            </w:r>
            <w:r w:rsidR="00D63DB6">
              <w:rPr>
                <w:noProof/>
              </w:rPr>
              <w:t>1</w:t>
            </w:r>
            <w:r w:rsidR="00F148CD" w:rsidRPr="00C04CE0">
              <w:fldChar w:fldCharType="end"/>
            </w:r>
          </w:p>
        </w:sdtContent>
      </w:sdt>
    </w:sdtContent>
  </w:sdt>
  <w:p w:rsidR="000121B9" w:rsidRDefault="000121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09D8" w:rsidRDefault="002D09D8" w:rsidP="000121B9">
      <w:pPr>
        <w:spacing w:before="0" w:after="0"/>
      </w:pPr>
      <w:r>
        <w:separator/>
      </w:r>
    </w:p>
  </w:footnote>
  <w:footnote w:type="continuationSeparator" w:id="0">
    <w:p w:rsidR="002D09D8" w:rsidRDefault="002D09D8" w:rsidP="000121B9">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1B9" w:rsidRPr="00D8054A" w:rsidRDefault="00D8054A" w:rsidP="000121B9">
    <w:pPr>
      <w:pStyle w:val="Header"/>
      <w:tabs>
        <w:tab w:val="left" w:pos="990"/>
      </w:tabs>
      <w:jc w:val="center"/>
      <w:rPr>
        <w:sz w:val="28"/>
        <w:szCs w:val="28"/>
        <w:lang w:val="fr-FR"/>
      </w:rPr>
    </w:pPr>
    <w:r w:rsidRPr="00D8054A">
      <w:rPr>
        <w:b/>
        <w:color w:val="237990"/>
        <w:sz w:val="28"/>
        <w:szCs w:val="28"/>
        <w:lang w:val="fr-FR"/>
      </w:rPr>
      <w:t>DIRECTIVES su</w:t>
    </w:r>
    <w:r w:rsidR="00410B1F">
      <w:rPr>
        <w:b/>
        <w:color w:val="237990"/>
        <w:sz w:val="28"/>
        <w:szCs w:val="28"/>
        <w:lang w:val="fr-FR"/>
      </w:rPr>
      <w:t xml:space="preserve">r les mécanismes communautaires </w:t>
    </w:r>
    <w:r w:rsidRPr="00D8054A">
      <w:rPr>
        <w:b/>
        <w:color w:val="237990"/>
        <w:sz w:val="28"/>
        <w:szCs w:val="28"/>
        <w:lang w:val="fr-FR"/>
      </w:rPr>
      <w:t>de rétroaction et plaintes</w:t>
    </w:r>
  </w:p>
  <w:p w:rsidR="000121B9" w:rsidRPr="00D8054A" w:rsidRDefault="000121B9">
    <w:pPr>
      <w:pStyle w:val="Header"/>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B2CB1"/>
    <w:multiLevelType w:val="hybridMultilevel"/>
    <w:tmpl w:val="00D441B4"/>
    <w:lvl w:ilvl="0" w:tplc="BEE052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FB06FD"/>
    <w:multiLevelType w:val="hybridMultilevel"/>
    <w:tmpl w:val="AAA06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956E28"/>
    <w:rsid w:val="000121B9"/>
    <w:rsid w:val="00026341"/>
    <w:rsid w:val="000A36CC"/>
    <w:rsid w:val="000B615D"/>
    <w:rsid w:val="000B75D5"/>
    <w:rsid w:val="00132059"/>
    <w:rsid w:val="00135D5D"/>
    <w:rsid w:val="001370A2"/>
    <w:rsid w:val="00156318"/>
    <w:rsid w:val="00165D64"/>
    <w:rsid w:val="001922C3"/>
    <w:rsid w:val="001B39DD"/>
    <w:rsid w:val="00202335"/>
    <w:rsid w:val="002243F3"/>
    <w:rsid w:val="002305AD"/>
    <w:rsid w:val="00230F56"/>
    <w:rsid w:val="00262DC8"/>
    <w:rsid w:val="002A123E"/>
    <w:rsid w:val="002C70DD"/>
    <w:rsid w:val="002D09D8"/>
    <w:rsid w:val="002E0D1A"/>
    <w:rsid w:val="00313FF6"/>
    <w:rsid w:val="00341B54"/>
    <w:rsid w:val="00371343"/>
    <w:rsid w:val="003D7D00"/>
    <w:rsid w:val="00402CE2"/>
    <w:rsid w:val="00404A18"/>
    <w:rsid w:val="00407BBC"/>
    <w:rsid w:val="00410B1F"/>
    <w:rsid w:val="00450594"/>
    <w:rsid w:val="00476A01"/>
    <w:rsid w:val="004E103B"/>
    <w:rsid w:val="00507CE3"/>
    <w:rsid w:val="00544CFB"/>
    <w:rsid w:val="00575004"/>
    <w:rsid w:val="00587DCB"/>
    <w:rsid w:val="005B721B"/>
    <w:rsid w:val="005C1C79"/>
    <w:rsid w:val="005D6013"/>
    <w:rsid w:val="006611C8"/>
    <w:rsid w:val="006975D5"/>
    <w:rsid w:val="006C56C7"/>
    <w:rsid w:val="006F622D"/>
    <w:rsid w:val="007B2308"/>
    <w:rsid w:val="007E64D9"/>
    <w:rsid w:val="008256D1"/>
    <w:rsid w:val="00843C3C"/>
    <w:rsid w:val="00880933"/>
    <w:rsid w:val="008F24F0"/>
    <w:rsid w:val="00900030"/>
    <w:rsid w:val="00955749"/>
    <w:rsid w:val="00956E28"/>
    <w:rsid w:val="009B0505"/>
    <w:rsid w:val="00A05DD7"/>
    <w:rsid w:val="00A16626"/>
    <w:rsid w:val="00A61817"/>
    <w:rsid w:val="00A66BE0"/>
    <w:rsid w:val="00A81719"/>
    <w:rsid w:val="00AD1536"/>
    <w:rsid w:val="00B05212"/>
    <w:rsid w:val="00B86958"/>
    <w:rsid w:val="00BD4B30"/>
    <w:rsid w:val="00BE1486"/>
    <w:rsid w:val="00C044F3"/>
    <w:rsid w:val="00C04CE0"/>
    <w:rsid w:val="00CA502F"/>
    <w:rsid w:val="00CC693D"/>
    <w:rsid w:val="00D012DA"/>
    <w:rsid w:val="00D63DB6"/>
    <w:rsid w:val="00D77378"/>
    <w:rsid w:val="00D8054A"/>
    <w:rsid w:val="00E53DD5"/>
    <w:rsid w:val="00EB35E8"/>
    <w:rsid w:val="00ED6244"/>
    <w:rsid w:val="00ED6C24"/>
    <w:rsid w:val="00EE30B1"/>
    <w:rsid w:val="00EF64B5"/>
    <w:rsid w:val="00F148CD"/>
    <w:rsid w:val="00FB6B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D64"/>
    <w:pPr>
      <w:spacing w:before="120"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5B721B"/>
  </w:style>
  <w:style w:type="character" w:customStyle="1" w:styleId="Style1Char">
    <w:name w:val="Style1 Char"/>
    <w:basedOn w:val="DefaultParagraphFont"/>
    <w:link w:val="Style1"/>
    <w:rsid w:val="005B721B"/>
  </w:style>
  <w:style w:type="paragraph" w:customStyle="1" w:styleId="Style10">
    <w:name w:val="Style 1"/>
    <w:basedOn w:val="Normal"/>
    <w:qFormat/>
    <w:rsid w:val="00341B54"/>
    <w:rPr>
      <w:rFonts w:ascii="Calibri" w:eastAsia="Calibri" w:hAnsi="Calibri" w:cs="Times New Roman"/>
    </w:rPr>
  </w:style>
  <w:style w:type="paragraph" w:styleId="Header">
    <w:name w:val="header"/>
    <w:basedOn w:val="Normal"/>
    <w:link w:val="HeaderChar"/>
    <w:uiPriority w:val="99"/>
    <w:unhideWhenUsed/>
    <w:rsid w:val="000121B9"/>
    <w:pPr>
      <w:tabs>
        <w:tab w:val="center" w:pos="4680"/>
        <w:tab w:val="right" w:pos="9360"/>
      </w:tabs>
      <w:spacing w:before="0" w:after="0"/>
    </w:pPr>
  </w:style>
  <w:style w:type="character" w:customStyle="1" w:styleId="HeaderChar">
    <w:name w:val="Header Char"/>
    <w:basedOn w:val="DefaultParagraphFont"/>
    <w:link w:val="Header"/>
    <w:uiPriority w:val="99"/>
    <w:rsid w:val="000121B9"/>
  </w:style>
  <w:style w:type="paragraph" w:styleId="Footer">
    <w:name w:val="footer"/>
    <w:basedOn w:val="Normal"/>
    <w:link w:val="FooterChar"/>
    <w:uiPriority w:val="99"/>
    <w:unhideWhenUsed/>
    <w:rsid w:val="000121B9"/>
    <w:pPr>
      <w:tabs>
        <w:tab w:val="center" w:pos="4680"/>
        <w:tab w:val="right" w:pos="9360"/>
      </w:tabs>
      <w:spacing w:before="0" w:after="0"/>
    </w:pPr>
  </w:style>
  <w:style w:type="character" w:customStyle="1" w:styleId="FooterChar">
    <w:name w:val="Footer Char"/>
    <w:basedOn w:val="DefaultParagraphFont"/>
    <w:link w:val="Footer"/>
    <w:uiPriority w:val="99"/>
    <w:rsid w:val="000121B9"/>
  </w:style>
  <w:style w:type="paragraph" w:styleId="BalloonText">
    <w:name w:val="Balloon Text"/>
    <w:basedOn w:val="Normal"/>
    <w:link w:val="BalloonTextChar"/>
    <w:uiPriority w:val="99"/>
    <w:semiHidden/>
    <w:unhideWhenUsed/>
    <w:rsid w:val="000121B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1B9"/>
    <w:rPr>
      <w:rFonts w:ascii="Tahoma" w:hAnsi="Tahoma" w:cs="Tahoma"/>
      <w:sz w:val="16"/>
      <w:szCs w:val="16"/>
    </w:rPr>
  </w:style>
  <w:style w:type="character" w:styleId="Hyperlink">
    <w:name w:val="Hyperlink"/>
    <w:basedOn w:val="DefaultParagraphFont"/>
    <w:uiPriority w:val="99"/>
    <w:unhideWhenUsed/>
    <w:rsid w:val="000121B9"/>
    <w:rPr>
      <w:color w:val="0000FF" w:themeColor="hyperlink"/>
      <w:u w:val="single"/>
    </w:rPr>
  </w:style>
  <w:style w:type="character" w:styleId="FollowedHyperlink">
    <w:name w:val="FollowedHyperlink"/>
    <w:basedOn w:val="DefaultParagraphFont"/>
    <w:uiPriority w:val="99"/>
    <w:semiHidden/>
    <w:unhideWhenUsed/>
    <w:rsid w:val="00FB6B49"/>
    <w:rPr>
      <w:color w:val="800080" w:themeColor="followedHyperlink"/>
      <w:u w:val="single"/>
    </w:rPr>
  </w:style>
  <w:style w:type="paragraph" w:styleId="ListParagraph">
    <w:name w:val="List Paragraph"/>
    <w:basedOn w:val="Normal"/>
    <w:uiPriority w:val="34"/>
    <w:qFormat/>
    <w:rsid w:val="00507CE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c.dk/fileadmin/uploads/pdf/IA_PDF/HAP/complaints_mechanism_handbook_2008.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neworldtrust.org/index.php?option=com_docman&amp;task=doc_download&amp;gid=120&amp;Itemid=5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reliefweb.int/report/world/building-safer-organisations-guidelines-receiving-and-investigating-allegations-ab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533</Words>
  <Characters>3043</Characters>
  <Application>Microsoft Office Word</Application>
  <DocSecurity>0</DocSecurity>
  <Lines>25</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V Vaughn Inc</Company>
  <LinksUpToDate>false</LinksUpToDate>
  <CharactersWithSpaces>3569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Vaughn Inc</dc:creator>
  <cp:lastModifiedBy>va_vaughn</cp:lastModifiedBy>
  <cp:revision>5</cp:revision>
  <cp:lastPrinted>2016-06-03T23:43:00Z</cp:lastPrinted>
  <dcterms:created xsi:type="dcterms:W3CDTF">2018-01-25T12:51:00Z</dcterms:created>
  <dcterms:modified xsi:type="dcterms:W3CDTF">2018-02-05T17:13:00Z</dcterms:modified>
</cp:coreProperties>
</file>