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D1" w:rsidRPr="00C04CE0" w:rsidRDefault="008256D1" w:rsidP="00C04CE0">
      <w:pPr>
        <w:spacing w:before="0" w:after="200" w:line="252" w:lineRule="auto"/>
      </w:pPr>
      <w:r w:rsidRPr="00C04CE0">
        <w:t xml:space="preserve">A </w:t>
      </w:r>
      <w:r w:rsidRPr="00C04CE0">
        <w:rPr>
          <w:b/>
        </w:rPr>
        <w:t>feedback mechanism</w:t>
      </w:r>
      <w:r w:rsidRPr="00C04CE0">
        <w:t xml:space="preserve"> allows recipients to express their concerns or displeasure with the commodity distribution process (for example</w:t>
      </w:r>
      <w:r w:rsidR="00B05212">
        <w:t>,</w:t>
      </w:r>
      <w:r w:rsidRPr="00C04CE0">
        <w:t xml:space="preserve"> the distance to the FDP</w:t>
      </w:r>
      <w:r w:rsidR="00B05212">
        <w:t xml:space="preserve"> or</w:t>
      </w:r>
      <w:r w:rsidRPr="00C04CE0">
        <w:t xml:space="preserve"> rudeness of distribution staff) or the ration quality or size.</w:t>
      </w:r>
      <w:r w:rsidR="00C04CE0">
        <w:t xml:space="preserve"> </w:t>
      </w:r>
      <w:r w:rsidR="00EB35E8" w:rsidRPr="00C04CE0">
        <w:t xml:space="preserve">Common feedback mechanisms are </w:t>
      </w:r>
      <w:r w:rsidR="00EB35E8" w:rsidRPr="008F24F0">
        <w:rPr>
          <w:b/>
        </w:rPr>
        <w:t>suggestion boxes</w:t>
      </w:r>
      <w:r w:rsidR="00EB35E8" w:rsidRPr="00C04CE0">
        <w:t xml:space="preserve"> or </w:t>
      </w:r>
      <w:r w:rsidR="00EB35E8" w:rsidRPr="008F24F0">
        <w:rPr>
          <w:b/>
        </w:rPr>
        <w:t>help desks</w:t>
      </w:r>
      <w:r w:rsidR="00EB35E8" w:rsidRPr="00C04CE0">
        <w:t xml:space="preserve"> located at the distribution site.</w:t>
      </w:r>
    </w:p>
    <w:p w:rsidR="00507CE3" w:rsidRPr="00C04CE0" w:rsidRDefault="008256D1" w:rsidP="00C04CE0">
      <w:pPr>
        <w:spacing w:before="0" w:after="200" w:line="252" w:lineRule="auto"/>
      </w:pPr>
      <w:r w:rsidRPr="00C04CE0">
        <w:t xml:space="preserve">A </w:t>
      </w:r>
      <w:r w:rsidRPr="00C04CE0">
        <w:rPr>
          <w:b/>
          <w:bCs/>
        </w:rPr>
        <w:t>c</w:t>
      </w:r>
      <w:r w:rsidR="000121B9" w:rsidRPr="00C04CE0">
        <w:rPr>
          <w:b/>
        </w:rPr>
        <w:t>omplaint mechanism</w:t>
      </w:r>
      <w:r w:rsidR="000121B9" w:rsidRPr="00C04CE0">
        <w:t xml:space="preserve"> allow</w:t>
      </w:r>
      <w:r w:rsidRPr="00C04CE0">
        <w:t>s</w:t>
      </w:r>
      <w:r w:rsidR="000121B9" w:rsidRPr="00C04CE0">
        <w:t xml:space="preserve"> </w:t>
      </w:r>
      <w:r w:rsidRPr="00C04CE0">
        <w:t>recipients</w:t>
      </w:r>
      <w:r w:rsidR="000121B9" w:rsidRPr="00C04CE0">
        <w:t xml:space="preserve"> to </w:t>
      </w:r>
      <w:r w:rsidR="00507CE3" w:rsidRPr="008F24F0">
        <w:rPr>
          <w:b/>
        </w:rPr>
        <w:t xml:space="preserve">confidentially </w:t>
      </w:r>
      <w:r w:rsidR="000121B9" w:rsidRPr="008F24F0">
        <w:rPr>
          <w:b/>
        </w:rPr>
        <w:t>report corruption</w:t>
      </w:r>
      <w:r w:rsidRPr="008F24F0">
        <w:rPr>
          <w:b/>
        </w:rPr>
        <w:t xml:space="preserve"> or </w:t>
      </w:r>
      <w:r w:rsidR="000121B9" w:rsidRPr="008F24F0">
        <w:rPr>
          <w:b/>
        </w:rPr>
        <w:t>abuse of power</w:t>
      </w:r>
      <w:r w:rsidR="00507CE3" w:rsidRPr="00C04CE0">
        <w:t xml:space="preserve"> (especially regarding sexual exploitation)</w:t>
      </w:r>
      <w:r w:rsidRPr="00C04CE0">
        <w:t>,</w:t>
      </w:r>
      <w:r w:rsidR="000121B9" w:rsidRPr="00C04CE0">
        <w:t xml:space="preserve"> and to seek redress</w:t>
      </w:r>
      <w:r w:rsidR="00EB35E8" w:rsidRPr="00C04CE0">
        <w:t>. A complaint mechanism may be formal or informal, written or verbal, signed or anonymous</w:t>
      </w:r>
      <w:r w:rsidR="00C04CE0">
        <w:t>,</w:t>
      </w:r>
      <w:r w:rsidR="00EB35E8" w:rsidRPr="00C04CE0">
        <w:t xml:space="preserve"> but it must always be culturally </w:t>
      </w:r>
      <w:r w:rsidR="00507CE3" w:rsidRPr="00C04CE0">
        <w:t xml:space="preserve">and politically </w:t>
      </w:r>
      <w:r w:rsidR="00EB35E8" w:rsidRPr="00C04CE0">
        <w:t xml:space="preserve">appropriate. </w:t>
      </w:r>
      <w:r w:rsidR="00507CE3" w:rsidRPr="00C04CE0">
        <w:t xml:space="preserve">Examples of complaint mechanisms include a complaint committee, </w:t>
      </w:r>
      <w:r w:rsidR="00955749" w:rsidRPr="00C04CE0">
        <w:t xml:space="preserve">locked </w:t>
      </w:r>
      <w:r w:rsidR="00507CE3" w:rsidRPr="00C04CE0">
        <w:t>box, telephone hotline</w:t>
      </w:r>
      <w:r w:rsidR="00C04CE0">
        <w:t>,</w:t>
      </w:r>
      <w:r w:rsidR="00507CE3" w:rsidRPr="00C04CE0">
        <w:t xml:space="preserve"> or direct</w:t>
      </w:r>
      <w:r w:rsidR="00B05212">
        <w:t xml:space="preserve"> complaints</w:t>
      </w:r>
      <w:r w:rsidR="00507CE3" w:rsidRPr="00C04CE0">
        <w:t xml:space="preserve"> to project staff</w:t>
      </w:r>
      <w:r w:rsidR="00955749" w:rsidRPr="00C04CE0">
        <w:t xml:space="preserve"> members trained to act as </w:t>
      </w:r>
      <w:r w:rsidR="00B05212">
        <w:t>“</w:t>
      </w:r>
      <w:r w:rsidR="00955749" w:rsidRPr="00C04CE0">
        <w:t>focal points</w:t>
      </w:r>
      <w:r w:rsidR="00B05212">
        <w:t xml:space="preserve">,” </w:t>
      </w:r>
      <w:r w:rsidR="00955749" w:rsidRPr="00C04CE0">
        <w:t xml:space="preserve">receiving complaints sensitively and without </w:t>
      </w:r>
      <w:r w:rsidR="00544CFB" w:rsidRPr="00C04CE0">
        <w:t>judgment</w:t>
      </w:r>
      <w:r w:rsidR="00955749" w:rsidRPr="00C04CE0">
        <w:t>, and ensuring the complainant’s safety.</w:t>
      </w:r>
      <w:r w:rsidR="00507CE3" w:rsidRPr="00C04CE0">
        <w:t xml:space="preserve"> </w:t>
      </w:r>
      <w:r w:rsidR="001922C3" w:rsidRPr="00C04CE0">
        <w:t>Do not require recipients to complain via local leaders or authorities, who may themselves be the source of corruption.</w:t>
      </w:r>
    </w:p>
    <w:p w:rsidR="00D77378" w:rsidRPr="00C04CE0" w:rsidRDefault="008256D1" w:rsidP="00B05212">
      <w:pPr>
        <w:pStyle w:val="ListParagraph"/>
        <w:numPr>
          <w:ilvl w:val="0"/>
          <w:numId w:val="2"/>
        </w:numPr>
        <w:spacing w:before="0" w:line="252" w:lineRule="auto"/>
        <w:ind w:left="360"/>
        <w:contextualSpacing w:val="0"/>
      </w:pPr>
      <w:r w:rsidRPr="00C04CE0">
        <w:t xml:space="preserve">Both </w:t>
      </w:r>
      <w:r w:rsidR="00C04CE0">
        <w:t xml:space="preserve">feedback and complaint </w:t>
      </w:r>
      <w:r w:rsidRPr="00C04CE0">
        <w:t xml:space="preserve">mechanisms </w:t>
      </w:r>
      <w:r w:rsidR="000121B9" w:rsidRPr="00C04CE0">
        <w:t>help build a culture of transparency and accountability, and improve program quality.</w:t>
      </w:r>
      <w:r w:rsidR="00EB35E8" w:rsidRPr="00C04CE0">
        <w:t xml:space="preserve">  </w:t>
      </w:r>
    </w:p>
    <w:p w:rsidR="000121B9" w:rsidRPr="00C04CE0" w:rsidRDefault="00EB35E8" w:rsidP="00B05212">
      <w:pPr>
        <w:pStyle w:val="ListParagraph"/>
        <w:numPr>
          <w:ilvl w:val="0"/>
          <w:numId w:val="2"/>
        </w:numPr>
        <w:spacing w:before="0" w:line="252" w:lineRule="auto"/>
        <w:ind w:left="360"/>
        <w:contextualSpacing w:val="0"/>
      </w:pPr>
      <w:r w:rsidRPr="00C04CE0">
        <w:t>Both mechanisms should be in place in programs distributing food commodities.</w:t>
      </w:r>
    </w:p>
    <w:p w:rsidR="00507CE3" w:rsidRPr="00C04CE0" w:rsidRDefault="00507CE3" w:rsidP="00B05212">
      <w:pPr>
        <w:pStyle w:val="ListParagraph"/>
        <w:numPr>
          <w:ilvl w:val="0"/>
          <w:numId w:val="2"/>
        </w:numPr>
        <w:spacing w:before="0" w:line="252" w:lineRule="auto"/>
        <w:ind w:left="360"/>
        <w:contextualSpacing w:val="0"/>
      </w:pPr>
      <w:r w:rsidRPr="00C04CE0">
        <w:t>Where possible, build mechanisms on existing local systems, rather than setting up parallel mechanism</w:t>
      </w:r>
      <w:r w:rsidR="001922C3" w:rsidRPr="00C04CE0">
        <w:t>s</w:t>
      </w:r>
      <w:r w:rsidRPr="00C04CE0">
        <w:t>.</w:t>
      </w:r>
    </w:p>
    <w:p w:rsidR="00D77378" w:rsidRPr="00C04CE0" w:rsidRDefault="001922C3" w:rsidP="00B05212">
      <w:pPr>
        <w:pStyle w:val="ListParagraph"/>
        <w:numPr>
          <w:ilvl w:val="0"/>
          <w:numId w:val="2"/>
        </w:numPr>
        <w:spacing w:before="0" w:line="252" w:lineRule="auto"/>
        <w:ind w:left="360"/>
        <w:contextualSpacing w:val="0"/>
      </w:pPr>
      <w:r w:rsidRPr="00C04CE0">
        <w:rPr>
          <w:bCs/>
        </w:rPr>
        <w:t>Fully inform the</w:t>
      </w:r>
      <w:r w:rsidRPr="00C04CE0">
        <w:rPr>
          <w:b/>
          <w:bCs/>
        </w:rPr>
        <w:t xml:space="preserve"> </w:t>
      </w:r>
      <w:r w:rsidRPr="00C04CE0">
        <w:t>community about the feedback and complaint mechanisms, their purpose</w:t>
      </w:r>
      <w:r w:rsidR="00B05212">
        <w:t>s</w:t>
      </w:r>
      <w:r w:rsidRPr="00C04CE0">
        <w:t xml:space="preserve"> and use, and what constitutes a complaint (as opposed to feedback).</w:t>
      </w:r>
    </w:p>
    <w:p w:rsidR="000121B9" w:rsidRPr="00C04CE0" w:rsidRDefault="000121B9" w:rsidP="00C04CE0">
      <w:pPr>
        <w:numPr>
          <w:ilvl w:val="0"/>
          <w:numId w:val="1"/>
        </w:numPr>
        <w:spacing w:before="0" w:after="200" w:line="252" w:lineRule="auto"/>
        <w:ind w:left="360"/>
      </w:pPr>
      <w:r w:rsidRPr="00C04CE0">
        <w:t xml:space="preserve">Respond promptly to valid </w:t>
      </w:r>
      <w:r w:rsidR="001922C3" w:rsidRPr="00C04CE0">
        <w:t xml:space="preserve">feedback and </w:t>
      </w:r>
      <w:r w:rsidRPr="00C04CE0">
        <w:t>complaints. Specify a timeframe and document the investigation at all stages: evidence-gathering</w:t>
      </w:r>
      <w:r w:rsidR="00B05212">
        <w:t>,</w:t>
      </w:r>
      <w:r w:rsidRPr="00C04CE0">
        <w:t xml:space="preserve"> interview</w:t>
      </w:r>
      <w:r w:rsidR="00C04CE0">
        <w:t>,</w:t>
      </w:r>
      <w:r w:rsidRPr="00C04CE0">
        <w:t xml:space="preserve"> report and findings</w:t>
      </w:r>
      <w:r w:rsidR="00C04CE0">
        <w:t>, and</w:t>
      </w:r>
      <w:r w:rsidRPr="00C04CE0">
        <w:t xml:space="preserve"> implementation or appeal (by either party). Keep complainants fully informed.</w:t>
      </w:r>
    </w:p>
    <w:p w:rsidR="000121B9" w:rsidRPr="00C04CE0" w:rsidRDefault="000121B9" w:rsidP="00C04CE0">
      <w:pPr>
        <w:spacing w:before="0" w:after="200" w:line="252" w:lineRule="auto"/>
        <w:rPr>
          <w:b/>
          <w:bCs/>
          <w:color w:val="237990"/>
        </w:rPr>
      </w:pPr>
      <w:r w:rsidRPr="00C04CE0">
        <w:rPr>
          <w:b/>
          <w:bCs/>
          <w:color w:val="237990"/>
        </w:rPr>
        <w:t xml:space="preserve">Reference </w:t>
      </w:r>
      <w:r w:rsidR="00B05212">
        <w:rPr>
          <w:b/>
          <w:bCs/>
          <w:color w:val="237990"/>
        </w:rPr>
        <w:t>M</w:t>
      </w:r>
      <w:r w:rsidRPr="00C04CE0">
        <w:rPr>
          <w:b/>
          <w:bCs/>
          <w:color w:val="237990"/>
        </w:rPr>
        <w:t>aterials</w:t>
      </w:r>
    </w:p>
    <w:p w:rsidR="000121B9" w:rsidRPr="008F24F0" w:rsidRDefault="000121B9" w:rsidP="00C04CE0">
      <w:pPr>
        <w:spacing w:before="0" w:after="200" w:line="252" w:lineRule="auto"/>
        <w:rPr>
          <w:iCs/>
          <w:color w:val="237990"/>
        </w:rPr>
      </w:pPr>
      <w:r w:rsidRPr="00C04CE0">
        <w:rPr>
          <w:iCs/>
        </w:rPr>
        <w:t>Bond and One World Trust:</w:t>
      </w:r>
      <w:r w:rsidRPr="00C04CE0">
        <w:rPr>
          <w:i/>
          <w:iCs/>
        </w:rPr>
        <w:t xml:space="preserve"> Self-Assessment Questionnaire for Complaint and Response Mechanisms, </w:t>
      </w:r>
      <w:r w:rsidRPr="00C04CE0">
        <w:rPr>
          <w:iCs/>
        </w:rPr>
        <w:t>London 2007.</w:t>
      </w:r>
      <w:r w:rsidRPr="00C04CE0">
        <w:rPr>
          <w:i/>
          <w:iCs/>
        </w:rPr>
        <w:t xml:space="preserve">  </w:t>
      </w:r>
      <w:hyperlink r:id="rId7" w:history="1">
        <w:r w:rsidRPr="008F24F0">
          <w:rPr>
            <w:rStyle w:val="Hyperlink"/>
            <w:iCs/>
            <w:color w:val="237990"/>
            <w:sz w:val="20"/>
            <w:szCs w:val="20"/>
          </w:rPr>
          <w:t>www.oneworldtrust.org/index.php?option=com_docman&amp;task=doc_download&amp;gid=120&amp;Itemid=59</w:t>
        </w:r>
      </w:hyperlink>
      <w:r w:rsidRPr="008F24F0">
        <w:rPr>
          <w:iCs/>
          <w:color w:val="237990"/>
          <w:sz w:val="20"/>
          <w:szCs w:val="20"/>
        </w:rPr>
        <w:t xml:space="preserve"> </w:t>
      </w:r>
    </w:p>
    <w:p w:rsidR="000121B9" w:rsidRPr="008F24F0" w:rsidRDefault="000121B9" w:rsidP="00C04CE0">
      <w:pPr>
        <w:spacing w:before="0" w:after="200" w:line="252" w:lineRule="auto"/>
        <w:rPr>
          <w:iCs/>
          <w:color w:val="237990"/>
        </w:rPr>
      </w:pPr>
      <w:r w:rsidRPr="00C04CE0">
        <w:rPr>
          <w:iCs/>
        </w:rPr>
        <w:t>Danish Refugee Council (DRC):</w:t>
      </w:r>
      <w:r w:rsidRPr="00C04CE0">
        <w:rPr>
          <w:i/>
          <w:iCs/>
        </w:rPr>
        <w:t xml:space="preserve"> Complaints Mechanisms Handbook, </w:t>
      </w:r>
      <w:r w:rsidRPr="00C04CE0">
        <w:rPr>
          <w:iCs/>
        </w:rPr>
        <w:t>2008.</w:t>
      </w:r>
      <w:r w:rsidRPr="00C04CE0">
        <w:rPr>
          <w:i/>
          <w:iCs/>
        </w:rPr>
        <w:t xml:space="preserve"> </w:t>
      </w:r>
      <w:hyperlink r:id="rId8" w:history="1">
        <w:r w:rsidRPr="008F24F0">
          <w:rPr>
            <w:rStyle w:val="Hyperlink"/>
            <w:iCs/>
            <w:color w:val="237990"/>
            <w:sz w:val="20"/>
            <w:szCs w:val="20"/>
          </w:rPr>
          <w:t>http://www.drc.dk/fileadmin/uploads/pdf/IA_PDF/HAP/complaints_mechanism_handbook_2008.pdf</w:t>
        </w:r>
      </w:hyperlink>
      <w:r w:rsidRPr="008F24F0">
        <w:rPr>
          <w:iCs/>
          <w:color w:val="237990"/>
          <w:sz w:val="20"/>
          <w:szCs w:val="20"/>
        </w:rPr>
        <w:t xml:space="preserve"> </w:t>
      </w:r>
    </w:p>
    <w:p w:rsidR="000121B9" w:rsidRPr="00C04CE0" w:rsidRDefault="000121B9" w:rsidP="00C04CE0">
      <w:pPr>
        <w:spacing w:before="0" w:after="200" w:line="252" w:lineRule="auto"/>
        <w:rPr>
          <w:iCs/>
        </w:rPr>
      </w:pPr>
      <w:r w:rsidRPr="00C04CE0">
        <w:rPr>
          <w:iCs/>
        </w:rPr>
        <w:t>HAP International</w:t>
      </w:r>
      <w:r w:rsidRPr="00C04CE0">
        <w:rPr>
          <w:i/>
          <w:iCs/>
        </w:rPr>
        <w:t xml:space="preserve">: Benchmark 5: Complaints-handling, in “The Guide to the HAP Standard: Humanitarian Accountability and Quality Management, </w:t>
      </w:r>
      <w:r w:rsidRPr="00C04CE0">
        <w:rPr>
          <w:iCs/>
        </w:rPr>
        <w:t>Oxford 2008.</w:t>
      </w:r>
    </w:p>
    <w:p w:rsidR="000121B9" w:rsidRPr="00C04CE0" w:rsidRDefault="000121B9" w:rsidP="00C04CE0">
      <w:pPr>
        <w:spacing w:before="0" w:after="200" w:line="252" w:lineRule="auto"/>
        <w:rPr>
          <w:iCs/>
        </w:rPr>
      </w:pPr>
      <w:r w:rsidRPr="00C04CE0">
        <w:rPr>
          <w:iCs/>
        </w:rPr>
        <w:t>ICVA:</w:t>
      </w:r>
      <w:r w:rsidRPr="00C04CE0">
        <w:rPr>
          <w:i/>
          <w:iCs/>
        </w:rPr>
        <w:t xml:space="preserve"> Building Safer Organisations Guidelines: Receiving and investigating allegations of abuse and exploitation by humanitarian workers, </w:t>
      </w:r>
      <w:r w:rsidRPr="00C04CE0">
        <w:rPr>
          <w:iCs/>
        </w:rPr>
        <w:t xml:space="preserve">Geneva n.d. </w:t>
      </w:r>
      <w:hyperlink r:id="rId9" w:history="1">
        <w:r w:rsidR="00B05212" w:rsidRPr="00B05212">
          <w:rPr>
            <w:rStyle w:val="Hyperlink"/>
            <w:color w:val="237990"/>
            <w:sz w:val="20"/>
            <w:szCs w:val="20"/>
          </w:rPr>
          <w:t>http://reliefweb.int/report/world/building-safer-organisations-guidelines-receiving-and-investigating-allegations-abuse</w:t>
        </w:r>
      </w:hyperlink>
      <w:r w:rsidR="00B05212">
        <w:t xml:space="preserve"> </w:t>
      </w:r>
      <w:r w:rsidRPr="008F24F0">
        <w:rPr>
          <w:iCs/>
          <w:color w:val="237990"/>
        </w:rPr>
        <w:t xml:space="preserve"> </w:t>
      </w:r>
    </w:p>
    <w:p w:rsidR="000121B9" w:rsidRPr="00C04CE0" w:rsidRDefault="000121B9" w:rsidP="00C04CE0">
      <w:pPr>
        <w:spacing w:before="0" w:after="200" w:line="252" w:lineRule="auto"/>
        <w:rPr>
          <w:iCs/>
        </w:rPr>
      </w:pPr>
      <w:r w:rsidRPr="00C04CE0">
        <w:rPr>
          <w:iCs/>
        </w:rPr>
        <w:t>ECB:</w:t>
      </w:r>
      <w:r w:rsidRPr="00C04CE0">
        <w:rPr>
          <w:i/>
          <w:iCs/>
        </w:rPr>
        <w:t xml:space="preserve"> Good Enough Guide: Impact Measurement and Accountability in Emergencies, </w:t>
      </w:r>
      <w:r w:rsidRPr="00C04CE0">
        <w:rPr>
          <w:iCs/>
        </w:rPr>
        <w:t>Oxfam, WV International, Oxford 2007.</w:t>
      </w:r>
    </w:p>
    <w:p w:rsidR="000121B9" w:rsidRPr="00B05212" w:rsidRDefault="000121B9" w:rsidP="00C04CE0">
      <w:pPr>
        <w:spacing w:before="0" w:after="200" w:line="252" w:lineRule="auto"/>
        <w:rPr>
          <w:iCs/>
        </w:rPr>
      </w:pPr>
      <w:r w:rsidRPr="00C04CE0">
        <w:rPr>
          <w:iCs/>
        </w:rPr>
        <w:t>Pepall, Joshua:</w:t>
      </w:r>
      <w:r w:rsidRPr="00C04CE0">
        <w:rPr>
          <w:i/>
          <w:iCs/>
        </w:rPr>
        <w:t xml:space="preserve"> Community Feedback System: Complaint Cards and Community Complaints Fact Sheet, </w:t>
      </w:r>
      <w:r w:rsidRPr="00C04CE0">
        <w:rPr>
          <w:iCs/>
        </w:rPr>
        <w:t>WV Sri Lanka, Lanka Tsunami Response Team (LTRT), 2006.</w:t>
      </w:r>
      <w:bookmarkStart w:id="0" w:name="_GoBack"/>
      <w:bookmarkEnd w:id="0"/>
    </w:p>
    <w:sectPr w:rsidR="000121B9" w:rsidRPr="00B05212" w:rsidSect="000121B9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35" w:rsidRDefault="00202335" w:rsidP="000121B9">
      <w:pPr>
        <w:spacing w:before="0" w:after="0"/>
      </w:pPr>
      <w:r>
        <w:separator/>
      </w:r>
    </w:p>
  </w:endnote>
  <w:endnote w:type="continuationSeparator" w:id="0">
    <w:p w:rsidR="00202335" w:rsidRDefault="00202335" w:rsidP="000121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428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121B9" w:rsidRPr="00C04CE0" w:rsidRDefault="000121B9">
            <w:pPr>
              <w:pStyle w:val="Footer"/>
              <w:jc w:val="center"/>
            </w:pPr>
            <w:r w:rsidRPr="00C04CE0">
              <w:t xml:space="preserve">Page </w:t>
            </w:r>
            <w:r w:rsidR="006611C8" w:rsidRPr="00C04CE0">
              <w:fldChar w:fldCharType="begin"/>
            </w:r>
            <w:r w:rsidRPr="00C04CE0">
              <w:instrText xml:space="preserve"> PAGE </w:instrText>
            </w:r>
            <w:r w:rsidR="006611C8" w:rsidRPr="00C04CE0">
              <w:fldChar w:fldCharType="separate"/>
            </w:r>
            <w:r w:rsidR="00B05212">
              <w:rPr>
                <w:noProof/>
              </w:rPr>
              <w:t>1</w:t>
            </w:r>
            <w:r w:rsidR="006611C8" w:rsidRPr="00C04CE0">
              <w:fldChar w:fldCharType="end"/>
            </w:r>
            <w:r w:rsidRPr="00C04CE0">
              <w:t xml:space="preserve"> of </w:t>
            </w:r>
            <w:r w:rsidR="006611C8" w:rsidRPr="00C04CE0">
              <w:fldChar w:fldCharType="begin"/>
            </w:r>
            <w:r w:rsidRPr="00C04CE0">
              <w:instrText xml:space="preserve"> NUMPAGES  </w:instrText>
            </w:r>
            <w:r w:rsidR="006611C8" w:rsidRPr="00C04CE0">
              <w:fldChar w:fldCharType="separate"/>
            </w:r>
            <w:r w:rsidR="00B05212">
              <w:rPr>
                <w:noProof/>
              </w:rPr>
              <w:t>1</w:t>
            </w:r>
            <w:r w:rsidR="006611C8" w:rsidRPr="00C04CE0">
              <w:fldChar w:fldCharType="end"/>
            </w:r>
          </w:p>
        </w:sdtContent>
      </w:sdt>
    </w:sdtContent>
  </w:sdt>
  <w:p w:rsidR="000121B9" w:rsidRDefault="0001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35" w:rsidRDefault="00202335" w:rsidP="000121B9">
      <w:pPr>
        <w:spacing w:before="0" w:after="0"/>
      </w:pPr>
      <w:r>
        <w:separator/>
      </w:r>
    </w:p>
  </w:footnote>
  <w:footnote w:type="continuationSeparator" w:id="0">
    <w:p w:rsidR="00202335" w:rsidRDefault="00202335" w:rsidP="000121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B9" w:rsidRPr="000121B9" w:rsidRDefault="00FB6B49" w:rsidP="000121B9">
    <w:pPr>
      <w:pStyle w:val="Header"/>
      <w:tabs>
        <w:tab w:val="left" w:pos="990"/>
      </w:tabs>
      <w:jc w:val="center"/>
      <w:rPr>
        <w:sz w:val="28"/>
        <w:szCs w:val="28"/>
      </w:rPr>
    </w:pPr>
    <w:r w:rsidRPr="00C04CE0">
      <w:rPr>
        <w:b/>
        <w:color w:val="237990"/>
        <w:sz w:val="28"/>
        <w:szCs w:val="28"/>
      </w:rPr>
      <w:t xml:space="preserve">Community </w:t>
    </w:r>
    <w:r w:rsidR="008256D1" w:rsidRPr="00C04CE0">
      <w:rPr>
        <w:b/>
        <w:color w:val="237990"/>
        <w:sz w:val="28"/>
        <w:szCs w:val="28"/>
      </w:rPr>
      <w:t xml:space="preserve">Feedback </w:t>
    </w:r>
    <w:r w:rsidR="00B05212">
      <w:rPr>
        <w:b/>
        <w:color w:val="237990"/>
        <w:sz w:val="28"/>
        <w:szCs w:val="28"/>
      </w:rPr>
      <w:t>and</w:t>
    </w:r>
    <w:r w:rsidR="008256D1" w:rsidRPr="00C04CE0">
      <w:rPr>
        <w:b/>
        <w:color w:val="237990"/>
        <w:sz w:val="28"/>
        <w:szCs w:val="28"/>
      </w:rPr>
      <w:t xml:space="preserve"> </w:t>
    </w:r>
    <w:r w:rsidR="000121B9" w:rsidRPr="00C04CE0">
      <w:rPr>
        <w:b/>
        <w:color w:val="237990"/>
        <w:sz w:val="28"/>
        <w:szCs w:val="28"/>
      </w:rPr>
      <w:t>Complaint Mechanisms</w:t>
    </w:r>
    <w:r w:rsidR="001B39DD" w:rsidRPr="00C04CE0">
      <w:rPr>
        <w:b/>
        <w:color w:val="237990"/>
        <w:sz w:val="28"/>
        <w:szCs w:val="28"/>
      </w:rPr>
      <w:t xml:space="preserve"> G</w:t>
    </w:r>
    <w:r w:rsidR="005D6013" w:rsidRPr="00C04CE0">
      <w:rPr>
        <w:b/>
        <w:color w:val="237990"/>
        <w:sz w:val="28"/>
        <w:szCs w:val="28"/>
      </w:rPr>
      <w:t>UIDELINES</w:t>
    </w:r>
  </w:p>
  <w:p w:rsidR="000121B9" w:rsidRDefault="00012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CB1"/>
    <w:multiLevelType w:val="hybridMultilevel"/>
    <w:tmpl w:val="00D441B4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B06FD"/>
    <w:multiLevelType w:val="hybridMultilevel"/>
    <w:tmpl w:val="AAA0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E28"/>
    <w:rsid w:val="000121B9"/>
    <w:rsid w:val="00026341"/>
    <w:rsid w:val="000B75D5"/>
    <w:rsid w:val="00132059"/>
    <w:rsid w:val="00135D5D"/>
    <w:rsid w:val="00156318"/>
    <w:rsid w:val="00165D64"/>
    <w:rsid w:val="001922C3"/>
    <w:rsid w:val="001B39DD"/>
    <w:rsid w:val="00202335"/>
    <w:rsid w:val="002243F3"/>
    <w:rsid w:val="002305AD"/>
    <w:rsid w:val="00230F56"/>
    <w:rsid w:val="00262DC8"/>
    <w:rsid w:val="002A123E"/>
    <w:rsid w:val="002C70DD"/>
    <w:rsid w:val="002E0D1A"/>
    <w:rsid w:val="00313FF6"/>
    <w:rsid w:val="00341B54"/>
    <w:rsid w:val="00371343"/>
    <w:rsid w:val="003D7D00"/>
    <w:rsid w:val="00402CE2"/>
    <w:rsid w:val="00404A18"/>
    <w:rsid w:val="00407BBC"/>
    <w:rsid w:val="00476A01"/>
    <w:rsid w:val="004E103B"/>
    <w:rsid w:val="00507CE3"/>
    <w:rsid w:val="00544CFB"/>
    <w:rsid w:val="00587DCB"/>
    <w:rsid w:val="005B721B"/>
    <w:rsid w:val="005C1C79"/>
    <w:rsid w:val="005D6013"/>
    <w:rsid w:val="006611C8"/>
    <w:rsid w:val="006975D5"/>
    <w:rsid w:val="006C56C7"/>
    <w:rsid w:val="006F622D"/>
    <w:rsid w:val="007B2308"/>
    <w:rsid w:val="008256D1"/>
    <w:rsid w:val="00843C3C"/>
    <w:rsid w:val="00880933"/>
    <w:rsid w:val="008F24F0"/>
    <w:rsid w:val="00955749"/>
    <w:rsid w:val="00956E28"/>
    <w:rsid w:val="009B0505"/>
    <w:rsid w:val="00A05DD7"/>
    <w:rsid w:val="00A16626"/>
    <w:rsid w:val="00A61817"/>
    <w:rsid w:val="00B05212"/>
    <w:rsid w:val="00B86958"/>
    <w:rsid w:val="00BD4B30"/>
    <w:rsid w:val="00BE1486"/>
    <w:rsid w:val="00C044F3"/>
    <w:rsid w:val="00C04CE0"/>
    <w:rsid w:val="00CA502F"/>
    <w:rsid w:val="00CC693D"/>
    <w:rsid w:val="00D77378"/>
    <w:rsid w:val="00EB35E8"/>
    <w:rsid w:val="00ED6244"/>
    <w:rsid w:val="00ED6C24"/>
    <w:rsid w:val="00EE30B1"/>
    <w:rsid w:val="00EF64B5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27DE9"/>
  <w15:docId w15:val="{0CBB6825-23BC-41E7-A6B1-0AF4CE1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21B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21B9"/>
  </w:style>
  <w:style w:type="paragraph" w:styleId="Footer">
    <w:name w:val="footer"/>
    <w:basedOn w:val="Normal"/>
    <w:link w:val="FooterChar"/>
    <w:uiPriority w:val="99"/>
    <w:unhideWhenUsed/>
    <w:rsid w:val="000121B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21B9"/>
  </w:style>
  <w:style w:type="paragraph" w:styleId="BalloonText">
    <w:name w:val="Balloon Text"/>
    <w:basedOn w:val="Normal"/>
    <w:link w:val="BalloonTextChar"/>
    <w:uiPriority w:val="99"/>
    <w:semiHidden/>
    <w:unhideWhenUsed/>
    <w:rsid w:val="000121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1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B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c.dk/fileadmin/uploads/pdf/IA_PDF/HAP/complaints_mechanism_handbook_20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eworldtrust.org/index.php?option=com_docman&amp;task=doc_download&amp;gid=120&amp;Itemid=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liefweb.int/report/world/building-safer-organisations-guidelines-receiving-and-investigating-allegations-ab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2016-06-03T23:43:00Z</cp:lastPrinted>
  <dcterms:created xsi:type="dcterms:W3CDTF">2017-03-14T11:53:00Z</dcterms:created>
  <dcterms:modified xsi:type="dcterms:W3CDTF">2017-03-14T11:53:00Z</dcterms:modified>
</cp:coreProperties>
</file>