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66" w:rsidRPr="00725E26" w:rsidRDefault="00F06266" w:rsidP="000E494A">
      <w:pPr>
        <w:spacing w:before="0" w:after="200" w:line="252" w:lineRule="auto"/>
      </w:pPr>
      <w:r w:rsidRPr="00F06266">
        <w:rPr>
          <w:bCs/>
        </w:rPr>
        <w:t xml:space="preserve">Commodity that appears spoiled, has passed BUBD, or is infested or damaged may be unfit for human consumption.  </w:t>
      </w:r>
      <w:r w:rsidR="00537971">
        <w:t>I</w:t>
      </w:r>
      <w:r w:rsidR="00537971" w:rsidRPr="00F06266">
        <w:t>mmediatel</w:t>
      </w:r>
      <w:r w:rsidR="00537971">
        <w:t>y s</w:t>
      </w:r>
      <w:r w:rsidR="00725E26" w:rsidRPr="00F06266">
        <w:t>egregate any suspect commodit</w:t>
      </w:r>
      <w:r w:rsidR="007515D3">
        <w:t>y</w:t>
      </w:r>
      <w:r w:rsidR="00725E26" w:rsidRPr="00F06266">
        <w:t xml:space="preserve"> to avoid potential contamination or infestation of the good stock.</w:t>
      </w:r>
      <w:r w:rsidR="00725E26">
        <w:t xml:space="preserve"> Contact a competent authority to </w:t>
      </w:r>
      <w:r w:rsidRPr="00F06266">
        <w:rPr>
          <w:bCs/>
        </w:rPr>
        <w:t>analyze and document</w:t>
      </w:r>
      <w:r w:rsidR="00725E26">
        <w:rPr>
          <w:bCs/>
        </w:rPr>
        <w:t xml:space="preserve"> t</w:t>
      </w:r>
      <w:r w:rsidR="00725E26" w:rsidRPr="00F06266">
        <w:rPr>
          <w:bCs/>
        </w:rPr>
        <w:t xml:space="preserve">he condition of the </w:t>
      </w:r>
      <w:r w:rsidR="00725E26" w:rsidRPr="00F06266">
        <w:t>suspect commodit</w:t>
      </w:r>
      <w:r w:rsidR="007515D3">
        <w:t>y</w:t>
      </w:r>
      <w:r w:rsidRPr="00F06266">
        <w:rPr>
          <w:bCs/>
        </w:rPr>
        <w:t xml:space="preserve">, and then </w:t>
      </w:r>
      <w:r w:rsidR="00725E26">
        <w:rPr>
          <w:bCs/>
        </w:rPr>
        <w:t xml:space="preserve">take </w:t>
      </w:r>
      <w:r w:rsidRPr="00F06266">
        <w:rPr>
          <w:bCs/>
        </w:rPr>
        <w:t>action according to USAID regulation.</w:t>
      </w:r>
    </w:p>
    <w:p w:rsidR="007515D3" w:rsidRPr="009A74EB" w:rsidRDefault="007515D3" w:rsidP="007515D3">
      <w:pPr>
        <w:numPr>
          <w:ilvl w:val="0"/>
          <w:numId w:val="3"/>
        </w:numPr>
        <w:spacing w:before="0" w:after="200" w:line="252" w:lineRule="auto"/>
        <w:rPr>
          <w:rFonts w:cs="Arial"/>
        </w:rPr>
      </w:pPr>
      <w:r w:rsidRPr="007515D3">
        <w:rPr>
          <w:rFonts w:cs="Arial"/>
          <w:b/>
        </w:rPr>
        <w:t>Arrange for inspection</w:t>
      </w:r>
      <w:r w:rsidRPr="009A74EB">
        <w:rPr>
          <w:rFonts w:cs="Arial"/>
        </w:rPr>
        <w:t xml:space="preserve"> </w:t>
      </w:r>
      <w:r w:rsidRPr="007515D3">
        <w:rPr>
          <w:rFonts w:cs="Arial"/>
          <w:b/>
        </w:rPr>
        <w:t>and analysis</w:t>
      </w:r>
      <w:r w:rsidRPr="009A74EB">
        <w:rPr>
          <w:rFonts w:cs="Arial"/>
        </w:rPr>
        <w:t xml:space="preserve"> of the </w:t>
      </w:r>
      <w:r>
        <w:rPr>
          <w:rFonts w:cs="Arial"/>
        </w:rPr>
        <w:t>commodity</w:t>
      </w:r>
      <w:r w:rsidRPr="009A74EB">
        <w:rPr>
          <w:rFonts w:cs="Arial"/>
        </w:rPr>
        <w:t xml:space="preserve"> by a public health official or other competent authority (such as an independent chemist or laboratory).</w:t>
      </w:r>
      <w:r w:rsidR="002837BA">
        <w:rPr>
          <w:rFonts w:cs="Arial"/>
        </w:rPr>
        <w:t xml:space="preserve"> </w:t>
      </w:r>
      <w:r>
        <w:t xml:space="preserve">For suspect commodity at </w:t>
      </w:r>
      <w:r w:rsidRPr="002617E9">
        <w:t>the discharge</w:t>
      </w:r>
      <w:r>
        <w:t xml:space="preserve"> port, the </w:t>
      </w:r>
      <w:r w:rsidRPr="002617E9">
        <w:t xml:space="preserve">port </w:t>
      </w:r>
      <w:r>
        <w:t xml:space="preserve">may </w:t>
      </w:r>
      <w:r w:rsidRPr="002617E9">
        <w:t>employ a</w:t>
      </w:r>
      <w:r>
        <w:t xml:space="preserve"> health official</w:t>
      </w:r>
      <w:r w:rsidRPr="002617E9">
        <w:t xml:space="preserve"> </w:t>
      </w:r>
      <w:r>
        <w:t xml:space="preserve">qualified </w:t>
      </w:r>
      <w:r w:rsidRPr="002617E9">
        <w:t>to make determinations of fitness of incoming commodity</w:t>
      </w:r>
      <w:r w:rsidR="002837BA">
        <w:t xml:space="preserve">. </w:t>
      </w:r>
    </w:p>
    <w:p w:rsidR="00FE2D41" w:rsidRPr="00CF4244" w:rsidRDefault="00550153" w:rsidP="007515D3">
      <w:pPr>
        <w:pStyle w:val="ListParagraph"/>
        <w:numPr>
          <w:ilvl w:val="0"/>
          <w:numId w:val="3"/>
        </w:numPr>
        <w:spacing w:before="0" w:after="200" w:line="252" w:lineRule="auto"/>
        <w:contextualSpacing w:val="0"/>
      </w:pPr>
      <w:r w:rsidRPr="007515D3">
        <w:rPr>
          <w:rFonts w:ascii="Calibri" w:eastAsia="Calibri" w:hAnsi="Calibri" w:cs="Times New Roman"/>
          <w:b/>
        </w:rPr>
        <w:t>Identify bags for sampling</w:t>
      </w:r>
      <w:r w:rsidRPr="00430B0B">
        <w:rPr>
          <w:rFonts w:ascii="Calibri" w:eastAsia="Calibri" w:hAnsi="Calibri" w:cs="Times New Roman"/>
        </w:rPr>
        <w:t>.</w:t>
      </w:r>
      <w:r w:rsidR="00FE2D41" w:rsidRPr="00CF4244">
        <w:t xml:space="preserve"> </w:t>
      </w:r>
      <w:r w:rsidR="007515D3" w:rsidRPr="00430B0B">
        <w:rPr>
          <w:rFonts w:ascii="Calibri" w:eastAsia="Calibri" w:hAnsi="Calibri" w:cs="Times New Roman"/>
        </w:rPr>
        <w:t>Best practice is to take samples from as many bags as possible, blend them thoroughly, and then take a sub-sample that can be analyze</w:t>
      </w:r>
      <w:r w:rsidR="007515D3">
        <w:rPr>
          <w:rFonts w:ascii="Calibri" w:eastAsia="Calibri" w:hAnsi="Calibri" w:cs="Times New Roman"/>
        </w:rPr>
        <w:t>d to provide an average result.</w:t>
      </w:r>
      <w:r w:rsidR="007515D3" w:rsidRPr="00430B0B">
        <w:rPr>
          <w:rFonts w:ascii="Calibri" w:eastAsia="Calibri" w:hAnsi="Calibri" w:cs="Times New Roman"/>
        </w:rPr>
        <w:t xml:space="preserve"> The more samples taken, the </w:t>
      </w:r>
      <w:r w:rsidR="00537971">
        <w:rPr>
          <w:rFonts w:ascii="Calibri" w:eastAsia="Calibri" w:hAnsi="Calibri" w:cs="Times New Roman"/>
        </w:rPr>
        <w:t>more</w:t>
      </w:r>
      <w:r w:rsidR="007515D3" w:rsidRPr="00430B0B">
        <w:rPr>
          <w:rFonts w:ascii="Calibri" w:eastAsia="Calibri" w:hAnsi="Calibri" w:cs="Times New Roman"/>
        </w:rPr>
        <w:t xml:space="preserve"> the average will accurately reflect any characteristic of the lot.</w:t>
      </w:r>
      <w:r w:rsidR="007515D3">
        <w:rPr>
          <w:rFonts w:ascii="Calibri" w:eastAsia="Calibri" w:hAnsi="Calibri" w:cs="Times New Roman"/>
        </w:rPr>
        <w:t xml:space="preserve"> </w:t>
      </w:r>
      <w:r w:rsidR="002617E9" w:rsidRPr="00CF4244">
        <w:t>FAO recommends the following sample sizes</w:t>
      </w:r>
      <w:r w:rsidR="00CF4244">
        <w:t>.</w:t>
      </w:r>
      <w:r w:rsidR="00FE2D41" w:rsidRPr="00CF4244">
        <w:t xml:space="preserve"> </w:t>
      </w:r>
    </w:p>
    <w:tbl>
      <w:tblPr>
        <w:tblStyle w:val="TableGrid"/>
        <w:tblW w:w="7560" w:type="dxa"/>
        <w:jc w:val="center"/>
        <w:tblLook w:val="04A0" w:firstRow="1" w:lastRow="0" w:firstColumn="1" w:lastColumn="0" w:noHBand="0" w:noVBand="1"/>
      </w:tblPr>
      <w:tblGrid>
        <w:gridCol w:w="2880"/>
        <w:gridCol w:w="4680"/>
      </w:tblGrid>
      <w:tr w:rsidR="00D06D51" w:rsidRPr="002617E9" w:rsidTr="000E494A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D06D51" w:rsidRPr="002617E9" w:rsidRDefault="00D06D51" w:rsidP="002617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617E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Number of bags in the lot</w:t>
            </w:r>
          </w:p>
        </w:tc>
        <w:tc>
          <w:tcPr>
            <w:tcW w:w="468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7C8029"/>
            <w:vAlign w:val="center"/>
          </w:tcPr>
          <w:p w:rsidR="00D06D51" w:rsidRPr="002617E9" w:rsidRDefault="00D06D51" w:rsidP="002617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617E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Number of </w:t>
            </w:r>
            <w:r w:rsidR="002617E9" w:rsidRPr="002617E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bags from which to collect samples</w:t>
            </w:r>
          </w:p>
        </w:tc>
      </w:tr>
      <w:tr w:rsidR="00D06D51" w:rsidRPr="00D06D51" w:rsidTr="000E494A">
        <w:trPr>
          <w:trHeight w:val="288"/>
          <w:jc w:val="center"/>
        </w:trPr>
        <w:tc>
          <w:tcPr>
            <w:tcW w:w="2880" w:type="dxa"/>
            <w:tcBorders>
              <w:top w:val="single" w:sz="8" w:space="0" w:color="FFFFFF" w:themeColor="background1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1–10</w:t>
            </w:r>
          </w:p>
        </w:tc>
        <w:tc>
          <w:tcPr>
            <w:tcW w:w="4680" w:type="dxa"/>
            <w:tcBorders>
              <w:top w:val="single" w:sz="8" w:space="0" w:color="FFFFFF" w:themeColor="background1"/>
              <w:left w:val="single" w:sz="8" w:space="0" w:color="7C8029"/>
              <w:bottom w:val="single" w:sz="8" w:space="0" w:color="7C8029"/>
              <w:right w:val="nil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Each bag</w:t>
            </w:r>
          </w:p>
        </w:tc>
      </w:tr>
      <w:tr w:rsidR="00D06D51" w:rsidRPr="00D06D51" w:rsidTr="000E494A">
        <w:trPr>
          <w:trHeight w:val="288"/>
          <w:jc w:val="center"/>
        </w:trPr>
        <w:tc>
          <w:tcPr>
            <w:tcW w:w="2880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11–25</w:t>
            </w:r>
          </w:p>
        </w:tc>
        <w:tc>
          <w:tcPr>
            <w:tcW w:w="4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5 bags</w:t>
            </w:r>
          </w:p>
        </w:tc>
      </w:tr>
      <w:tr w:rsidR="00D06D51" w:rsidRPr="00D06D51" w:rsidTr="000E494A">
        <w:trPr>
          <w:trHeight w:val="288"/>
          <w:jc w:val="center"/>
        </w:trPr>
        <w:tc>
          <w:tcPr>
            <w:tcW w:w="2880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26–50</w:t>
            </w:r>
          </w:p>
        </w:tc>
        <w:tc>
          <w:tcPr>
            <w:tcW w:w="4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7 bags</w:t>
            </w:r>
          </w:p>
        </w:tc>
      </w:tr>
      <w:tr w:rsidR="00D06D51" w:rsidRPr="00D06D51" w:rsidTr="000E494A">
        <w:trPr>
          <w:trHeight w:val="288"/>
          <w:jc w:val="center"/>
        </w:trPr>
        <w:tc>
          <w:tcPr>
            <w:tcW w:w="2880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51–100</w:t>
            </w:r>
          </w:p>
        </w:tc>
        <w:tc>
          <w:tcPr>
            <w:tcW w:w="4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10 bags</w:t>
            </w:r>
          </w:p>
        </w:tc>
      </w:tr>
      <w:tr w:rsidR="00D06D51" w:rsidRPr="00D06D51" w:rsidTr="000E494A">
        <w:trPr>
          <w:trHeight w:val="288"/>
          <w:jc w:val="center"/>
        </w:trPr>
        <w:tc>
          <w:tcPr>
            <w:tcW w:w="2880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101–999</w:t>
            </w:r>
          </w:p>
        </w:tc>
        <w:tc>
          <w:tcPr>
            <w:tcW w:w="4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  <w:vAlign w:val="center"/>
          </w:tcPr>
          <w:p w:rsidR="00D06D51" w:rsidRPr="00CF4244" w:rsidRDefault="00D06D51" w:rsidP="005379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The square root o</w:t>
            </w:r>
            <w:r w:rsidR="00537971">
              <w:rPr>
                <w:rFonts w:ascii="Calibri" w:hAnsi="Calibri" w:cs="Calibri"/>
                <w:sz w:val="20"/>
                <w:szCs w:val="20"/>
              </w:rPr>
              <w:t>f</w:t>
            </w:r>
            <w:r w:rsidRPr="00CF4244">
              <w:rPr>
                <w:rFonts w:ascii="Calibri" w:hAnsi="Calibri" w:cs="Calibri"/>
                <w:sz w:val="20"/>
                <w:szCs w:val="20"/>
              </w:rPr>
              <w:t xml:space="preserve"> the total</w:t>
            </w:r>
          </w:p>
        </w:tc>
      </w:tr>
      <w:tr w:rsidR="00D06D51" w:rsidRPr="00D06D51" w:rsidTr="000E494A">
        <w:trPr>
          <w:trHeight w:val="288"/>
          <w:jc w:val="center"/>
        </w:trPr>
        <w:tc>
          <w:tcPr>
            <w:tcW w:w="2880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1000+</w:t>
            </w:r>
          </w:p>
        </w:tc>
        <w:tc>
          <w:tcPr>
            <w:tcW w:w="4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  <w:vAlign w:val="center"/>
          </w:tcPr>
          <w:p w:rsidR="00D06D51" w:rsidRPr="00CF4244" w:rsidRDefault="00D06D51" w:rsidP="000E49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244">
              <w:rPr>
                <w:rFonts w:ascii="Calibri" w:hAnsi="Calibri" w:cs="Calibri"/>
                <w:sz w:val="20"/>
                <w:szCs w:val="20"/>
              </w:rPr>
              <w:t>1% of the total</w:t>
            </w:r>
          </w:p>
        </w:tc>
      </w:tr>
    </w:tbl>
    <w:p w:rsidR="002617E9" w:rsidRDefault="002617E9" w:rsidP="00F02A8A">
      <w:pPr>
        <w:spacing w:before="0" w:line="252" w:lineRule="auto"/>
      </w:pPr>
    </w:p>
    <w:p w:rsidR="007515D3" w:rsidRDefault="007515D3" w:rsidP="00315EB0">
      <w:pPr>
        <w:pStyle w:val="ListParagraph"/>
        <w:numPr>
          <w:ilvl w:val="0"/>
          <w:numId w:val="3"/>
        </w:numPr>
        <w:spacing w:before="0" w:after="60" w:line="252" w:lineRule="auto"/>
      </w:pPr>
      <w:r w:rsidRPr="007515D3">
        <w:rPr>
          <w:b/>
        </w:rPr>
        <w:t>Collect samples</w:t>
      </w:r>
      <w:r w:rsidRPr="002617E9">
        <w:t xml:space="preserve"> in the presence of Awardee representative</w:t>
      </w:r>
      <w:r w:rsidR="005D6B1A">
        <w:t xml:space="preserve"> and</w:t>
      </w:r>
      <w:r w:rsidR="00537971">
        <w:t>,</w:t>
      </w:r>
      <w:r w:rsidR="005D6B1A">
        <w:t xml:space="preserve"> </w:t>
      </w:r>
      <w:r w:rsidR="002837BA">
        <w:t>if</w:t>
      </w:r>
      <w:r w:rsidR="005D6B1A">
        <w:t xml:space="preserve"> applicable</w:t>
      </w:r>
      <w:r w:rsidRPr="002617E9">
        <w:t xml:space="preserve">, vessel’s agent, </w:t>
      </w:r>
      <w:r>
        <w:t xml:space="preserve">port health official, and </w:t>
      </w:r>
      <w:r w:rsidRPr="002617E9">
        <w:t>the Independent Surveyor.</w:t>
      </w:r>
      <w:r>
        <w:t xml:space="preserve"> </w:t>
      </w:r>
    </w:p>
    <w:p w:rsidR="007515D3" w:rsidRDefault="007515D3" w:rsidP="005D6B1A">
      <w:pPr>
        <w:numPr>
          <w:ilvl w:val="0"/>
          <w:numId w:val="10"/>
        </w:numPr>
        <w:spacing w:after="60" w:line="252" w:lineRule="auto"/>
        <w:rPr>
          <w:rFonts w:ascii="Calibri" w:eastAsia="Calibri" w:hAnsi="Calibri" w:cs="Times New Roman"/>
        </w:rPr>
      </w:pPr>
      <w:r w:rsidRPr="00430B0B">
        <w:rPr>
          <w:rFonts w:ascii="Calibri" w:eastAsia="Calibri" w:hAnsi="Calibri" w:cs="Times New Roman"/>
        </w:rPr>
        <w:t xml:space="preserve">Stand </w:t>
      </w:r>
      <w:r>
        <w:rPr>
          <w:rFonts w:ascii="Calibri" w:eastAsia="Calibri" w:hAnsi="Calibri" w:cs="Times New Roman"/>
        </w:rPr>
        <w:t>each</w:t>
      </w:r>
      <w:r w:rsidRPr="00430B0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sample </w:t>
      </w:r>
      <w:r w:rsidRPr="00430B0B">
        <w:rPr>
          <w:rFonts w:ascii="Calibri" w:eastAsia="Calibri" w:hAnsi="Calibri" w:cs="Times New Roman"/>
        </w:rPr>
        <w:t xml:space="preserve">bag up on end, insert </w:t>
      </w:r>
      <w:r>
        <w:rPr>
          <w:rFonts w:ascii="Calibri" w:eastAsia="Calibri" w:hAnsi="Calibri" w:cs="Times New Roman"/>
        </w:rPr>
        <w:t>a sampling</w:t>
      </w:r>
      <w:r w:rsidRPr="00430B0B">
        <w:rPr>
          <w:rFonts w:ascii="Calibri" w:eastAsia="Calibri" w:hAnsi="Calibri" w:cs="Times New Roman"/>
        </w:rPr>
        <w:t xml:space="preserve"> probe into the top corner of the </w:t>
      </w:r>
      <w:r>
        <w:rPr>
          <w:rFonts w:ascii="Calibri" w:eastAsia="Calibri" w:hAnsi="Calibri" w:cs="Times New Roman"/>
        </w:rPr>
        <w:t>bag</w:t>
      </w:r>
      <w:r w:rsidRPr="00430B0B">
        <w:rPr>
          <w:rFonts w:ascii="Calibri" w:eastAsia="Calibri" w:hAnsi="Calibri" w:cs="Times New Roman"/>
        </w:rPr>
        <w:t>, and move it diagonally through the bag until the end of the probe touches the bottom corner opposite the top corner. Withdraw the sample.</w:t>
      </w:r>
    </w:p>
    <w:p w:rsidR="005D6B1A" w:rsidRPr="00430B0B" w:rsidRDefault="005D6B1A" w:rsidP="005D6B1A">
      <w:pPr>
        <w:spacing w:before="60" w:after="60" w:line="252" w:lineRule="auto"/>
        <w:ind w:left="720"/>
        <w:rPr>
          <w:rFonts w:ascii="Calibri" w:eastAsia="Calibri" w:hAnsi="Calibri" w:cs="Times New Roman"/>
        </w:rPr>
      </w:pPr>
      <w:r w:rsidRPr="007515D3">
        <w:rPr>
          <w:rFonts w:ascii="Calibri" w:eastAsia="Calibri" w:hAnsi="Calibri" w:cs="Times New Roman"/>
          <w:b/>
        </w:rPr>
        <w:t>Note:</w:t>
      </w:r>
      <w:r>
        <w:rPr>
          <w:rFonts w:ascii="Calibri" w:eastAsia="Calibri" w:hAnsi="Calibri" w:cs="Times New Roman"/>
        </w:rPr>
        <w:t xml:space="preserve"> </w:t>
      </w:r>
      <w:r>
        <w:t>Persons collecting samples must use clean gloves and sampling bags to avoid cross</w:t>
      </w:r>
      <w:r w:rsidR="00537971">
        <w:t>-</w:t>
      </w:r>
      <w:r>
        <w:t>contamination.</w:t>
      </w:r>
    </w:p>
    <w:p w:rsidR="007515D3" w:rsidRPr="00430B0B" w:rsidRDefault="007515D3" w:rsidP="005D6B1A">
      <w:pPr>
        <w:numPr>
          <w:ilvl w:val="0"/>
          <w:numId w:val="10"/>
        </w:numPr>
        <w:spacing w:after="60" w:line="252" w:lineRule="auto"/>
        <w:rPr>
          <w:rFonts w:ascii="Calibri" w:eastAsia="Calibri" w:hAnsi="Calibri" w:cs="Times New Roman"/>
        </w:rPr>
      </w:pPr>
      <w:r w:rsidRPr="00430B0B">
        <w:rPr>
          <w:rFonts w:ascii="Calibri" w:eastAsia="Calibri" w:hAnsi="Calibri" w:cs="Times New Roman"/>
        </w:rPr>
        <w:t>Combine all probe samples to produce an aggregate sample</w:t>
      </w:r>
      <w:r w:rsidR="00537971">
        <w:rPr>
          <w:rFonts w:ascii="Calibri" w:eastAsia="Calibri" w:hAnsi="Calibri" w:cs="Times New Roman"/>
        </w:rPr>
        <w:t>. M</w:t>
      </w:r>
      <w:r w:rsidRPr="00430B0B">
        <w:rPr>
          <w:rFonts w:ascii="Calibri" w:eastAsia="Calibri" w:hAnsi="Calibri" w:cs="Times New Roman"/>
        </w:rPr>
        <w:t>ix thoroughly.</w:t>
      </w:r>
    </w:p>
    <w:p w:rsidR="007515D3" w:rsidRDefault="007515D3" w:rsidP="005D6B1A">
      <w:pPr>
        <w:numPr>
          <w:ilvl w:val="0"/>
          <w:numId w:val="10"/>
        </w:numPr>
        <w:spacing w:after="60" w:line="252" w:lineRule="auto"/>
        <w:rPr>
          <w:rFonts w:ascii="Calibri" w:eastAsia="Calibri" w:hAnsi="Calibri" w:cs="Times New Roman"/>
        </w:rPr>
      </w:pPr>
      <w:r w:rsidRPr="00430B0B">
        <w:rPr>
          <w:rFonts w:ascii="Calibri" w:eastAsia="Calibri" w:hAnsi="Calibri" w:cs="Times New Roman"/>
        </w:rPr>
        <w:t xml:space="preserve">Obtain representative </w:t>
      </w:r>
      <w:r w:rsidR="002837BA">
        <w:rPr>
          <w:rFonts w:ascii="Calibri" w:eastAsia="Calibri" w:hAnsi="Calibri" w:cs="Times New Roman"/>
        </w:rPr>
        <w:t>sub-</w:t>
      </w:r>
      <w:r w:rsidRPr="00430B0B">
        <w:rPr>
          <w:rFonts w:ascii="Calibri" w:eastAsia="Calibri" w:hAnsi="Calibri" w:cs="Times New Roman"/>
        </w:rPr>
        <w:t>sample</w:t>
      </w:r>
      <w:r w:rsidR="005D6B1A">
        <w:rPr>
          <w:rFonts w:ascii="Calibri" w:eastAsia="Calibri" w:hAnsi="Calibri" w:cs="Times New Roman"/>
        </w:rPr>
        <w:t>s</w:t>
      </w:r>
      <w:r w:rsidRPr="00430B0B">
        <w:rPr>
          <w:rFonts w:ascii="Calibri" w:eastAsia="Calibri" w:hAnsi="Calibri" w:cs="Times New Roman"/>
        </w:rPr>
        <w:t xml:space="preserve"> (from the mixed aggregate) of between 1 and 5 kg</w:t>
      </w:r>
      <w:r w:rsidR="00537971">
        <w:rPr>
          <w:rFonts w:ascii="Calibri" w:eastAsia="Calibri" w:hAnsi="Calibri" w:cs="Times New Roman"/>
        </w:rPr>
        <w:t>,</w:t>
      </w:r>
      <w:r w:rsidRPr="00430B0B">
        <w:rPr>
          <w:rFonts w:ascii="Calibri" w:eastAsia="Calibri" w:hAnsi="Calibri" w:cs="Times New Roman"/>
        </w:rPr>
        <w:t xml:space="preserve"> and seal </w:t>
      </w:r>
      <w:r w:rsidR="005D6B1A">
        <w:rPr>
          <w:rFonts w:ascii="Calibri" w:eastAsia="Calibri" w:hAnsi="Calibri" w:cs="Times New Roman"/>
        </w:rPr>
        <w:t>each</w:t>
      </w:r>
      <w:r w:rsidRPr="00430B0B">
        <w:rPr>
          <w:rFonts w:ascii="Calibri" w:eastAsia="Calibri" w:hAnsi="Calibri" w:cs="Times New Roman"/>
        </w:rPr>
        <w:t xml:space="preserve"> in a bag to protect the integrity of the </w:t>
      </w:r>
      <w:r w:rsidR="002837BA">
        <w:rPr>
          <w:rFonts w:ascii="Calibri" w:eastAsia="Calibri" w:hAnsi="Calibri" w:cs="Times New Roman"/>
        </w:rPr>
        <w:t>sub-</w:t>
      </w:r>
      <w:r w:rsidRPr="00430B0B">
        <w:rPr>
          <w:rFonts w:ascii="Calibri" w:eastAsia="Calibri" w:hAnsi="Calibri" w:cs="Times New Roman"/>
        </w:rPr>
        <w:t>sample</w:t>
      </w:r>
      <w:r w:rsidR="005D6B1A">
        <w:rPr>
          <w:rFonts w:ascii="Calibri" w:eastAsia="Calibri" w:hAnsi="Calibri" w:cs="Times New Roman"/>
        </w:rPr>
        <w:t>s</w:t>
      </w:r>
      <w:r w:rsidRPr="00430B0B">
        <w:rPr>
          <w:rFonts w:ascii="Calibri" w:eastAsia="Calibri" w:hAnsi="Calibri" w:cs="Times New Roman"/>
        </w:rPr>
        <w:t>.</w:t>
      </w:r>
    </w:p>
    <w:p w:rsidR="005D6B1A" w:rsidRPr="005D6B1A" w:rsidRDefault="005D6B1A" w:rsidP="005D6B1A">
      <w:pPr>
        <w:spacing w:before="60" w:after="60" w:line="252" w:lineRule="auto"/>
        <w:ind w:left="720"/>
        <w:rPr>
          <w:rFonts w:ascii="Calibri" w:eastAsia="Calibri" w:hAnsi="Calibri" w:cs="Times New Roman"/>
        </w:rPr>
      </w:pPr>
      <w:r w:rsidRPr="005D6B1A">
        <w:rPr>
          <w:rFonts w:ascii="Calibri" w:eastAsia="Calibri" w:hAnsi="Calibri" w:cs="Times New Roman"/>
          <w:b/>
        </w:rPr>
        <w:t>Note:</w:t>
      </w:r>
      <w:r w:rsidRPr="005D6B1A">
        <w:rPr>
          <w:rFonts w:ascii="Calibri" w:eastAsia="Calibri" w:hAnsi="Calibri" w:cs="Times New Roman"/>
        </w:rPr>
        <w:t xml:space="preserve"> Each </w:t>
      </w:r>
      <w:r w:rsidR="002837BA">
        <w:rPr>
          <w:rFonts w:ascii="Calibri" w:eastAsia="Calibri" w:hAnsi="Calibri" w:cs="Times New Roman"/>
        </w:rPr>
        <w:t>sub-</w:t>
      </w:r>
      <w:r w:rsidRPr="005D6B1A">
        <w:rPr>
          <w:rFonts w:ascii="Calibri" w:eastAsia="Calibri" w:hAnsi="Calibri" w:cs="Times New Roman"/>
        </w:rPr>
        <w:t xml:space="preserve">sample should be handled in a manner that minimizes the post-collection production of aflatoxin. Moist </w:t>
      </w:r>
      <w:r w:rsidR="002837BA">
        <w:rPr>
          <w:rFonts w:ascii="Calibri" w:eastAsia="Calibri" w:hAnsi="Calibri" w:cs="Times New Roman"/>
        </w:rPr>
        <w:t>sub-</w:t>
      </w:r>
      <w:r w:rsidRPr="005D6B1A">
        <w:rPr>
          <w:rFonts w:ascii="Calibri" w:eastAsia="Calibri" w:hAnsi="Calibri" w:cs="Times New Roman"/>
        </w:rPr>
        <w:t>samples should be held in cloth or paper bags, cooled if feasible</w:t>
      </w:r>
      <w:r w:rsidR="00537971">
        <w:rPr>
          <w:rFonts w:ascii="Calibri" w:eastAsia="Calibri" w:hAnsi="Calibri" w:cs="Times New Roman"/>
        </w:rPr>
        <w:t>,</w:t>
      </w:r>
      <w:r w:rsidRPr="005D6B1A">
        <w:rPr>
          <w:rFonts w:ascii="Calibri" w:eastAsia="Calibri" w:hAnsi="Calibri" w:cs="Times New Roman"/>
        </w:rPr>
        <w:t xml:space="preserve"> and transported to drying facilities as soon as possible. </w:t>
      </w:r>
      <w:r>
        <w:rPr>
          <w:rFonts w:ascii="Calibri" w:eastAsia="Calibri" w:hAnsi="Calibri" w:cs="Times New Roman"/>
        </w:rPr>
        <w:t xml:space="preserve">Avoid the use of </w:t>
      </w:r>
      <w:r w:rsidRPr="005D6B1A">
        <w:rPr>
          <w:rFonts w:ascii="Calibri" w:eastAsia="Calibri" w:hAnsi="Calibri" w:cs="Times New Roman"/>
        </w:rPr>
        <w:t xml:space="preserve">plastic bags or </w:t>
      </w:r>
      <w:r>
        <w:rPr>
          <w:rFonts w:ascii="Calibri" w:eastAsia="Calibri" w:hAnsi="Calibri" w:cs="Times New Roman"/>
        </w:rPr>
        <w:t>storage in a</w:t>
      </w:r>
      <w:r w:rsidRPr="005D6B1A">
        <w:rPr>
          <w:rFonts w:ascii="Calibri" w:eastAsia="Calibri" w:hAnsi="Calibri" w:cs="Times New Roman"/>
        </w:rPr>
        <w:t xml:space="preserve"> confined area where humidity and temperature can increase around the</w:t>
      </w:r>
      <w:r>
        <w:rPr>
          <w:rFonts w:ascii="Calibri" w:eastAsia="Calibri" w:hAnsi="Calibri" w:cs="Times New Roman"/>
        </w:rPr>
        <w:t xml:space="preserve"> </w:t>
      </w:r>
      <w:r w:rsidR="002837BA">
        <w:rPr>
          <w:rFonts w:ascii="Calibri" w:eastAsia="Calibri" w:hAnsi="Calibri" w:cs="Times New Roman"/>
        </w:rPr>
        <w:t>commodity</w:t>
      </w:r>
      <w:r w:rsidRPr="005D6B1A">
        <w:rPr>
          <w:rFonts w:ascii="Calibri" w:eastAsia="Calibri" w:hAnsi="Calibri" w:cs="Times New Roman"/>
        </w:rPr>
        <w:t>.</w:t>
      </w:r>
    </w:p>
    <w:p w:rsidR="007515D3" w:rsidRDefault="007515D3" w:rsidP="005D6B1A">
      <w:pPr>
        <w:numPr>
          <w:ilvl w:val="0"/>
          <w:numId w:val="10"/>
        </w:numPr>
        <w:spacing w:before="60" w:after="60" w:line="252" w:lineRule="auto"/>
        <w:rPr>
          <w:rFonts w:ascii="Calibri" w:eastAsia="Calibri" w:hAnsi="Calibri" w:cs="Times New Roman"/>
        </w:rPr>
      </w:pPr>
      <w:r w:rsidRPr="00430B0B">
        <w:rPr>
          <w:rFonts w:ascii="Calibri" w:eastAsia="Calibri" w:hAnsi="Calibri" w:cs="Times New Roman"/>
        </w:rPr>
        <w:t xml:space="preserve">Label </w:t>
      </w:r>
      <w:r w:rsidR="005D6B1A">
        <w:rPr>
          <w:rFonts w:ascii="Calibri" w:eastAsia="Calibri" w:hAnsi="Calibri" w:cs="Times New Roman"/>
        </w:rPr>
        <w:t xml:space="preserve">each </w:t>
      </w:r>
      <w:r w:rsidR="002837BA">
        <w:rPr>
          <w:rFonts w:ascii="Calibri" w:eastAsia="Calibri" w:hAnsi="Calibri" w:cs="Times New Roman"/>
        </w:rPr>
        <w:t>sub-</w:t>
      </w:r>
      <w:r w:rsidRPr="00430B0B">
        <w:rPr>
          <w:rFonts w:ascii="Calibri" w:eastAsia="Calibri" w:hAnsi="Calibri" w:cs="Times New Roman"/>
        </w:rPr>
        <w:t xml:space="preserve">sample </w:t>
      </w:r>
      <w:r w:rsidR="005D6B1A" w:rsidRPr="00271FE3">
        <w:rPr>
          <w:rFonts w:cs="Arial"/>
        </w:rPr>
        <w:t>by shipment number</w:t>
      </w:r>
      <w:r w:rsidR="00537971">
        <w:rPr>
          <w:rFonts w:cs="Arial"/>
        </w:rPr>
        <w:t>,</w:t>
      </w:r>
      <w:r w:rsidR="005D6B1A" w:rsidRPr="00430B0B">
        <w:rPr>
          <w:rFonts w:ascii="Calibri" w:eastAsia="Calibri" w:hAnsi="Calibri" w:cs="Times New Roman"/>
        </w:rPr>
        <w:t xml:space="preserve"> </w:t>
      </w:r>
      <w:r w:rsidRPr="00430B0B">
        <w:rPr>
          <w:rFonts w:ascii="Calibri" w:eastAsia="Calibri" w:hAnsi="Calibri" w:cs="Times New Roman"/>
        </w:rPr>
        <w:t>and send to a qualified testing laboratory.</w:t>
      </w:r>
    </w:p>
    <w:p w:rsidR="007515D3" w:rsidRPr="00430B0B" w:rsidRDefault="007515D3" w:rsidP="005D6B1A">
      <w:pPr>
        <w:numPr>
          <w:ilvl w:val="0"/>
          <w:numId w:val="10"/>
        </w:numPr>
        <w:spacing w:before="0" w:line="252" w:lineRule="auto"/>
        <w:rPr>
          <w:rFonts w:ascii="Calibri" w:eastAsia="Calibri" w:hAnsi="Calibri" w:cs="Times New Roman"/>
        </w:rPr>
      </w:pPr>
      <w:r>
        <w:t xml:space="preserve">Document how </w:t>
      </w:r>
      <w:r w:rsidR="002837BA">
        <w:t>sub-</w:t>
      </w:r>
      <w:r>
        <w:t>samples were selected and collected.</w:t>
      </w:r>
    </w:p>
    <w:p w:rsidR="00537971" w:rsidRDefault="00537971">
      <w:pPr>
        <w:spacing w:before="0"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DE2084" w:rsidRPr="008F6537" w:rsidRDefault="002837BA" w:rsidP="000E494A">
      <w:pPr>
        <w:numPr>
          <w:ilvl w:val="0"/>
          <w:numId w:val="3"/>
        </w:numPr>
        <w:spacing w:before="0" w:after="200" w:line="252" w:lineRule="auto"/>
        <w:rPr>
          <w:rFonts w:cs="Arial"/>
        </w:rPr>
      </w:pPr>
      <w:r w:rsidRPr="00537971">
        <w:rPr>
          <w:rFonts w:cs="Arial"/>
        </w:rPr>
        <w:lastRenderedPageBreak/>
        <w:t>A</w:t>
      </w:r>
      <w:r w:rsidR="008F6537" w:rsidRPr="002837BA">
        <w:rPr>
          <w:rFonts w:cs="Arial"/>
          <w:b/>
        </w:rPr>
        <w:t xml:space="preserve"> </w:t>
      </w:r>
      <w:r w:rsidR="00537971" w:rsidRPr="00DE276D">
        <w:t>public health official (or other competent authority)</w:t>
      </w:r>
      <w:r w:rsidR="00537971">
        <w:t xml:space="preserve"> prepares a </w:t>
      </w:r>
      <w:r w:rsidR="008F6537" w:rsidRPr="002837BA">
        <w:rPr>
          <w:rFonts w:cs="Arial"/>
          <w:b/>
        </w:rPr>
        <w:t>written chemical analysis report and declaration</w:t>
      </w:r>
      <w:r w:rsidR="008F6537">
        <w:rPr>
          <w:rFonts w:cs="Arial"/>
        </w:rPr>
        <w:t xml:space="preserve"> as to whether the commodity is fit (suitable) for human consumption</w:t>
      </w:r>
      <w:r>
        <w:t xml:space="preserve">. </w:t>
      </w:r>
      <w:r w:rsidR="008F6537">
        <w:t xml:space="preserve">The declaration </w:t>
      </w:r>
      <w:r w:rsidR="00DE2084" w:rsidRPr="002617E9">
        <w:t>should include (but need not be limited to):</w:t>
      </w:r>
    </w:p>
    <w:p w:rsidR="00DE2084" w:rsidRPr="002617E9" w:rsidRDefault="00DE2084" w:rsidP="000E494A">
      <w:pPr>
        <w:numPr>
          <w:ilvl w:val="0"/>
          <w:numId w:val="5"/>
        </w:numPr>
        <w:spacing w:before="0" w:after="0" w:line="252" w:lineRule="auto"/>
        <w:ind w:left="720"/>
      </w:pPr>
      <w:r w:rsidRPr="002617E9">
        <w:t>Name of vessel</w:t>
      </w:r>
      <w:r w:rsidR="008F6537">
        <w:t xml:space="preserve">, </w:t>
      </w:r>
      <w:r w:rsidR="008F6537" w:rsidRPr="008F6537">
        <w:t>warehouse, or distribution site where commodity was last located</w:t>
      </w:r>
    </w:p>
    <w:p w:rsidR="00DE2084" w:rsidRPr="002617E9" w:rsidRDefault="00DE2084" w:rsidP="000E494A">
      <w:pPr>
        <w:numPr>
          <w:ilvl w:val="0"/>
          <w:numId w:val="5"/>
        </w:numPr>
        <w:spacing w:before="0" w:after="0" w:line="252" w:lineRule="auto"/>
        <w:ind w:left="720"/>
      </w:pPr>
      <w:r w:rsidRPr="002617E9">
        <w:t>Date of discharge from the vessel</w:t>
      </w:r>
      <w:r w:rsidR="008F6537">
        <w:t xml:space="preserve">, </w:t>
      </w:r>
      <w:r w:rsidR="008F6537" w:rsidRPr="008F6537">
        <w:t>arrival in warehouse, or commodity first suspected unfit</w:t>
      </w:r>
    </w:p>
    <w:p w:rsidR="00EA1AC8" w:rsidRDefault="00EA1AC8" w:rsidP="000E494A">
      <w:pPr>
        <w:numPr>
          <w:ilvl w:val="0"/>
          <w:numId w:val="5"/>
        </w:numPr>
        <w:spacing w:before="0" w:after="0" w:line="252" w:lineRule="auto"/>
        <w:ind w:left="720"/>
      </w:pPr>
      <w:r w:rsidRPr="00EA1AC8">
        <w:t>Amount of commodity examined (bags, cartons, kgs)</w:t>
      </w:r>
    </w:p>
    <w:p w:rsidR="00EA1AC8" w:rsidRDefault="00EA1AC8" w:rsidP="000E494A">
      <w:pPr>
        <w:numPr>
          <w:ilvl w:val="0"/>
          <w:numId w:val="5"/>
        </w:numPr>
        <w:spacing w:before="0" w:after="0" w:line="252" w:lineRule="auto"/>
        <w:ind w:left="720"/>
      </w:pPr>
      <w:r w:rsidRPr="00EA1AC8">
        <w:t xml:space="preserve">Number and size of </w:t>
      </w:r>
      <w:r w:rsidR="002837BA">
        <w:t>sub-</w:t>
      </w:r>
      <w:r w:rsidRPr="00EA1AC8">
        <w:t>samples</w:t>
      </w:r>
    </w:p>
    <w:p w:rsidR="00EA1AC8" w:rsidRPr="007D5191" w:rsidRDefault="00EA1AC8" w:rsidP="000E494A">
      <w:pPr>
        <w:numPr>
          <w:ilvl w:val="0"/>
          <w:numId w:val="5"/>
        </w:numPr>
        <w:spacing w:before="0" w:after="0" w:line="252" w:lineRule="auto"/>
        <w:ind w:left="720"/>
      </w:pPr>
      <w:r w:rsidRPr="007D5191">
        <w:rPr>
          <w:rFonts w:cs="Arial"/>
        </w:rPr>
        <w:t xml:space="preserve">Location where </w:t>
      </w:r>
      <w:r w:rsidR="002837BA">
        <w:rPr>
          <w:rFonts w:cs="Arial"/>
        </w:rPr>
        <w:t>sub-</w:t>
      </w:r>
      <w:r w:rsidRPr="007D5191">
        <w:rPr>
          <w:rFonts w:cs="Arial"/>
        </w:rPr>
        <w:t>samples were analyzed</w:t>
      </w:r>
    </w:p>
    <w:p w:rsidR="00DE2084" w:rsidRPr="007D5191" w:rsidRDefault="00DE2084" w:rsidP="000E494A">
      <w:pPr>
        <w:numPr>
          <w:ilvl w:val="0"/>
          <w:numId w:val="5"/>
        </w:numPr>
        <w:spacing w:before="0" w:after="0" w:line="252" w:lineRule="auto"/>
        <w:ind w:left="720"/>
      </w:pPr>
      <w:r w:rsidRPr="007D5191">
        <w:t xml:space="preserve">Date of </w:t>
      </w:r>
      <w:r w:rsidR="00EA1AC8" w:rsidRPr="007D5191">
        <w:t>analysis</w:t>
      </w:r>
    </w:p>
    <w:p w:rsidR="00EA1AC8" w:rsidRPr="002617E9" w:rsidRDefault="00EA1AC8" w:rsidP="000E494A">
      <w:pPr>
        <w:numPr>
          <w:ilvl w:val="0"/>
          <w:numId w:val="5"/>
        </w:numPr>
        <w:spacing w:before="0" w:after="0" w:line="252" w:lineRule="auto"/>
        <w:ind w:left="720"/>
      </w:pPr>
      <w:r w:rsidRPr="00EA1AC8">
        <w:t>Results of analysis</w:t>
      </w:r>
    </w:p>
    <w:p w:rsidR="00DE2084" w:rsidRPr="002617E9" w:rsidRDefault="00DE2084" w:rsidP="000E494A">
      <w:pPr>
        <w:numPr>
          <w:ilvl w:val="0"/>
          <w:numId w:val="5"/>
        </w:numPr>
        <w:spacing w:before="0" w:after="0" w:line="252" w:lineRule="auto"/>
        <w:ind w:left="720"/>
      </w:pPr>
      <w:r w:rsidRPr="002617E9">
        <w:t xml:space="preserve">Reason (s) why </w:t>
      </w:r>
      <w:r w:rsidR="00A93D3D" w:rsidRPr="002617E9">
        <w:t>commodity</w:t>
      </w:r>
      <w:r w:rsidRPr="002617E9">
        <w:t xml:space="preserve"> was determined to be unfit for human consumption</w:t>
      </w:r>
    </w:p>
    <w:p w:rsidR="00DE2084" w:rsidRPr="002617E9" w:rsidRDefault="00EA1AC8" w:rsidP="000E494A">
      <w:pPr>
        <w:numPr>
          <w:ilvl w:val="0"/>
          <w:numId w:val="5"/>
        </w:numPr>
        <w:spacing w:before="0" w:after="0" w:line="252" w:lineRule="auto"/>
        <w:ind w:left="720"/>
      </w:pPr>
      <w:r w:rsidRPr="00EA1AC8">
        <w:t>Advi</w:t>
      </w:r>
      <w:r w:rsidR="00537971">
        <w:t>c</w:t>
      </w:r>
      <w:r w:rsidRPr="00EA1AC8">
        <w:t>e as to whether commodity is fit for other use</w:t>
      </w:r>
    </w:p>
    <w:p w:rsidR="00DE2084" w:rsidRPr="002617E9" w:rsidRDefault="00DE2084" w:rsidP="000E494A">
      <w:pPr>
        <w:numPr>
          <w:ilvl w:val="0"/>
          <w:numId w:val="5"/>
        </w:numPr>
        <w:spacing w:before="0" w:after="200" w:line="252" w:lineRule="auto"/>
        <w:ind w:left="720"/>
      </w:pPr>
      <w:r w:rsidRPr="002617E9">
        <w:t xml:space="preserve">Signature and title </w:t>
      </w:r>
    </w:p>
    <w:p w:rsidR="00EA1AC8" w:rsidRDefault="002837BA" w:rsidP="000E494A">
      <w:pPr>
        <w:pStyle w:val="ListParagraph"/>
        <w:numPr>
          <w:ilvl w:val="0"/>
          <w:numId w:val="3"/>
        </w:numPr>
        <w:spacing w:before="0" w:after="200" w:line="252" w:lineRule="auto"/>
        <w:contextualSpacing w:val="0"/>
      </w:pPr>
      <w:r w:rsidRPr="002837BA">
        <w:rPr>
          <w:b/>
        </w:rPr>
        <w:t>Attach t</w:t>
      </w:r>
      <w:r w:rsidR="00EA1AC8" w:rsidRPr="002837BA">
        <w:rPr>
          <w:b/>
        </w:rPr>
        <w:t>he declaration as supporting documentation to the loss report</w:t>
      </w:r>
      <w:r w:rsidR="00EA1AC8">
        <w:t xml:space="preserve"> for any unfit commodities.</w:t>
      </w:r>
    </w:p>
    <w:p w:rsidR="002113B0" w:rsidRDefault="002837BA" w:rsidP="002837BA">
      <w:pPr>
        <w:spacing w:before="0" w:after="200" w:line="252" w:lineRule="auto"/>
        <w:ind w:left="360"/>
      </w:pPr>
      <w:r w:rsidRPr="002837BA">
        <w:rPr>
          <w:b/>
        </w:rPr>
        <w:t>Note:</w:t>
      </w:r>
      <w:r>
        <w:t xml:space="preserve"> If the loss occurred at the </w:t>
      </w:r>
      <w:r w:rsidR="00460961">
        <w:t xml:space="preserve">discharge </w:t>
      </w:r>
      <w:r>
        <w:t>port, t</w:t>
      </w:r>
      <w:r w:rsidR="00DE2084" w:rsidRPr="002617E9">
        <w:t xml:space="preserve">he cost of analysis and </w:t>
      </w:r>
      <w:r>
        <w:t>declaration</w:t>
      </w:r>
      <w:r w:rsidR="00DE2084" w:rsidRPr="002617E9">
        <w:t xml:space="preserve"> </w:t>
      </w:r>
      <w:r w:rsidR="008F6537">
        <w:t>preparation</w:t>
      </w:r>
      <w:r w:rsidR="00DE2084" w:rsidRPr="002617E9">
        <w:t xml:space="preserve"> will be </w:t>
      </w:r>
      <w:r w:rsidR="008F6537">
        <w:t>covered by ITSH, or</w:t>
      </w:r>
      <w:r w:rsidR="00537971">
        <w:t>,</w:t>
      </w:r>
      <w:bookmarkStart w:id="0" w:name="_GoBack"/>
      <w:bookmarkEnd w:id="0"/>
      <w:r w:rsidR="008F6537">
        <w:t xml:space="preserve"> if requested by independent surveyor,</w:t>
      </w:r>
      <w:r w:rsidR="008F6537" w:rsidRPr="002617E9">
        <w:t xml:space="preserve"> </w:t>
      </w:r>
      <w:r w:rsidR="00DE2084" w:rsidRPr="002617E9">
        <w:t>reimbursed by</w:t>
      </w:r>
      <w:r w:rsidR="003F3EEC">
        <w:t xml:space="preserve"> the</w:t>
      </w:r>
      <w:r w:rsidR="00DE2084" w:rsidRPr="002617E9">
        <w:t xml:space="preserve"> CCC.</w:t>
      </w:r>
    </w:p>
    <w:p w:rsidR="00550153" w:rsidRDefault="00550153" w:rsidP="00550153">
      <w:pPr>
        <w:spacing w:before="0" w:after="200" w:line="252" w:lineRule="auto"/>
        <w:rPr>
          <w:rFonts w:ascii="Calibri" w:eastAsia="Calibri" w:hAnsi="Calibri" w:cs="Times New Roman"/>
        </w:rPr>
      </w:pPr>
    </w:p>
    <w:sectPr w:rsidR="00550153" w:rsidSect="000A4CF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AA" w:rsidRDefault="00F738AA" w:rsidP="00FE2D41">
      <w:pPr>
        <w:spacing w:before="0" w:after="0"/>
      </w:pPr>
      <w:r>
        <w:separator/>
      </w:r>
    </w:p>
  </w:endnote>
  <w:endnote w:type="continuationSeparator" w:id="0">
    <w:p w:rsidR="00F738AA" w:rsidRDefault="00F738AA" w:rsidP="00FE2D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17499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A4CF1" w:rsidRPr="00F51084" w:rsidRDefault="000A4CF1">
            <w:pPr>
              <w:pStyle w:val="Footer"/>
              <w:jc w:val="center"/>
            </w:pPr>
            <w:r w:rsidRPr="00F51084">
              <w:t xml:space="preserve">Page </w:t>
            </w:r>
            <w:r w:rsidR="002E1102" w:rsidRPr="00F51084">
              <w:fldChar w:fldCharType="begin"/>
            </w:r>
            <w:r w:rsidRPr="00F51084">
              <w:instrText xml:space="preserve"> PAGE </w:instrText>
            </w:r>
            <w:r w:rsidR="002E1102" w:rsidRPr="00F51084">
              <w:fldChar w:fldCharType="separate"/>
            </w:r>
            <w:r w:rsidR="00537971">
              <w:rPr>
                <w:noProof/>
              </w:rPr>
              <w:t>1</w:t>
            </w:r>
            <w:r w:rsidR="002E1102" w:rsidRPr="00F51084">
              <w:fldChar w:fldCharType="end"/>
            </w:r>
            <w:r w:rsidRPr="00F51084">
              <w:t xml:space="preserve"> of </w:t>
            </w:r>
            <w:r w:rsidR="002E1102" w:rsidRPr="00F51084">
              <w:fldChar w:fldCharType="begin"/>
            </w:r>
            <w:r w:rsidRPr="00F51084">
              <w:instrText xml:space="preserve"> NUMPAGES  </w:instrText>
            </w:r>
            <w:r w:rsidR="002E1102" w:rsidRPr="00F51084">
              <w:fldChar w:fldCharType="separate"/>
            </w:r>
            <w:r w:rsidR="00537971">
              <w:rPr>
                <w:noProof/>
              </w:rPr>
              <w:t>2</w:t>
            </w:r>
            <w:r w:rsidR="002E1102" w:rsidRPr="00F51084">
              <w:fldChar w:fldCharType="end"/>
            </w:r>
          </w:p>
        </w:sdtContent>
      </w:sdt>
    </w:sdtContent>
  </w:sdt>
  <w:p w:rsidR="000A4CF1" w:rsidRDefault="000A4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AA" w:rsidRDefault="00F738AA" w:rsidP="00FE2D41">
      <w:pPr>
        <w:spacing w:before="0" w:after="0"/>
      </w:pPr>
      <w:r>
        <w:separator/>
      </w:r>
    </w:p>
  </w:footnote>
  <w:footnote w:type="continuationSeparator" w:id="0">
    <w:p w:rsidR="00F738AA" w:rsidRDefault="00F738AA" w:rsidP="00FE2D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41" w:rsidRPr="00A93D3D" w:rsidRDefault="00FE2D41" w:rsidP="00FE2D41">
    <w:pPr>
      <w:pStyle w:val="Header"/>
      <w:jc w:val="center"/>
      <w:rPr>
        <w:sz w:val="24"/>
        <w:szCs w:val="24"/>
      </w:rPr>
    </w:pPr>
    <w:r w:rsidRPr="00F51084">
      <w:rPr>
        <w:b/>
        <w:color w:val="237990"/>
        <w:sz w:val="28"/>
        <w:szCs w:val="28"/>
      </w:rPr>
      <w:t xml:space="preserve">Commodity </w:t>
    </w:r>
    <w:r w:rsidR="00F06266">
      <w:rPr>
        <w:b/>
        <w:color w:val="237990"/>
        <w:sz w:val="28"/>
        <w:szCs w:val="28"/>
      </w:rPr>
      <w:t>Analysis</w:t>
    </w:r>
    <w:r w:rsidRPr="00F51084">
      <w:rPr>
        <w:b/>
        <w:color w:val="237990"/>
        <w:sz w:val="28"/>
        <w:szCs w:val="28"/>
      </w:rPr>
      <w:t xml:space="preserve"> </w:t>
    </w:r>
    <w:r w:rsidR="00BB3256" w:rsidRPr="00F51084">
      <w:rPr>
        <w:b/>
        <w:color w:val="237990"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9DF"/>
    <w:multiLevelType w:val="hybridMultilevel"/>
    <w:tmpl w:val="345C344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2A523665"/>
    <w:multiLevelType w:val="hybridMultilevel"/>
    <w:tmpl w:val="F2A0966E"/>
    <w:lvl w:ilvl="0" w:tplc="3BBE3C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31164"/>
    <w:multiLevelType w:val="hybridMultilevel"/>
    <w:tmpl w:val="8F703C14"/>
    <w:lvl w:ilvl="0" w:tplc="0310BFB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2C126CA3"/>
    <w:multiLevelType w:val="singleLevel"/>
    <w:tmpl w:val="0D76A6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2927B5"/>
    <w:multiLevelType w:val="hybridMultilevel"/>
    <w:tmpl w:val="FFA4D75E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3E09"/>
    <w:multiLevelType w:val="hybridMultilevel"/>
    <w:tmpl w:val="42E24A68"/>
    <w:lvl w:ilvl="0" w:tplc="1076DD98">
      <w:start w:val="1"/>
      <w:numFmt w:val="bullet"/>
      <w:lvlText w:val="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22848F8"/>
    <w:multiLevelType w:val="hybridMultilevel"/>
    <w:tmpl w:val="06FE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F205C1"/>
    <w:multiLevelType w:val="hybridMultilevel"/>
    <w:tmpl w:val="FA1CA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F3CF4"/>
    <w:multiLevelType w:val="hybridMultilevel"/>
    <w:tmpl w:val="27D43ED0"/>
    <w:lvl w:ilvl="0" w:tplc="DEBED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9E6027"/>
    <w:multiLevelType w:val="hybridMultilevel"/>
    <w:tmpl w:val="F1A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976D5"/>
    <w:multiLevelType w:val="hybridMultilevel"/>
    <w:tmpl w:val="2918D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D41"/>
    <w:rsid w:val="00004841"/>
    <w:rsid w:val="00026341"/>
    <w:rsid w:val="000A4CF1"/>
    <w:rsid w:val="000B75D5"/>
    <w:rsid w:val="000E494A"/>
    <w:rsid w:val="00165D64"/>
    <w:rsid w:val="001F327E"/>
    <w:rsid w:val="001F76DB"/>
    <w:rsid w:val="002243F3"/>
    <w:rsid w:val="0022685F"/>
    <w:rsid w:val="002305AD"/>
    <w:rsid w:val="00230F56"/>
    <w:rsid w:val="002617E9"/>
    <w:rsid w:val="002837BA"/>
    <w:rsid w:val="002E0D1A"/>
    <w:rsid w:val="002E1102"/>
    <w:rsid w:val="002E760D"/>
    <w:rsid w:val="00341B54"/>
    <w:rsid w:val="00371343"/>
    <w:rsid w:val="003E7C16"/>
    <w:rsid w:val="003F3EEC"/>
    <w:rsid w:val="00404A18"/>
    <w:rsid w:val="00407BBC"/>
    <w:rsid w:val="00460961"/>
    <w:rsid w:val="004E103B"/>
    <w:rsid w:val="005029C2"/>
    <w:rsid w:val="00537971"/>
    <w:rsid w:val="00550153"/>
    <w:rsid w:val="005A02A1"/>
    <w:rsid w:val="005B721B"/>
    <w:rsid w:val="005D4BA6"/>
    <w:rsid w:val="005D6B1A"/>
    <w:rsid w:val="00607653"/>
    <w:rsid w:val="00622F69"/>
    <w:rsid w:val="00647907"/>
    <w:rsid w:val="00692092"/>
    <w:rsid w:val="006C78D5"/>
    <w:rsid w:val="006F19B3"/>
    <w:rsid w:val="007053C5"/>
    <w:rsid w:val="00725E26"/>
    <w:rsid w:val="007515D3"/>
    <w:rsid w:val="007C4B5B"/>
    <w:rsid w:val="007D5191"/>
    <w:rsid w:val="00811E3D"/>
    <w:rsid w:val="008F6537"/>
    <w:rsid w:val="00906C14"/>
    <w:rsid w:val="009A74EB"/>
    <w:rsid w:val="009B77E0"/>
    <w:rsid w:val="00A05DD7"/>
    <w:rsid w:val="00A16626"/>
    <w:rsid w:val="00A36BBC"/>
    <w:rsid w:val="00A61817"/>
    <w:rsid w:val="00A93D3D"/>
    <w:rsid w:val="00B43038"/>
    <w:rsid w:val="00B86958"/>
    <w:rsid w:val="00BB3256"/>
    <w:rsid w:val="00C3255D"/>
    <w:rsid w:val="00C5304C"/>
    <w:rsid w:val="00CA502F"/>
    <w:rsid w:val="00CA7844"/>
    <w:rsid w:val="00CB1D61"/>
    <w:rsid w:val="00CC156B"/>
    <w:rsid w:val="00CC693D"/>
    <w:rsid w:val="00CF4244"/>
    <w:rsid w:val="00D06D51"/>
    <w:rsid w:val="00DE2084"/>
    <w:rsid w:val="00EA1AC8"/>
    <w:rsid w:val="00EB3C43"/>
    <w:rsid w:val="00EC1C26"/>
    <w:rsid w:val="00EC1CF5"/>
    <w:rsid w:val="00F02A8A"/>
    <w:rsid w:val="00F06266"/>
    <w:rsid w:val="00F51084"/>
    <w:rsid w:val="00F61121"/>
    <w:rsid w:val="00F738AA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AFD4"/>
  <w15:docId w15:val="{ED36ADAD-C605-4EE8-8816-758760D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E2D4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E2D41"/>
  </w:style>
  <w:style w:type="paragraph" w:styleId="Footer">
    <w:name w:val="footer"/>
    <w:basedOn w:val="Normal"/>
    <w:link w:val="FooterChar"/>
    <w:uiPriority w:val="99"/>
    <w:unhideWhenUsed/>
    <w:rsid w:val="00FE2D4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E2D41"/>
  </w:style>
  <w:style w:type="paragraph" w:styleId="BalloonText">
    <w:name w:val="Balloon Text"/>
    <w:basedOn w:val="Normal"/>
    <w:link w:val="BalloonTextChar"/>
    <w:uiPriority w:val="99"/>
    <w:semiHidden/>
    <w:unhideWhenUsed/>
    <w:rsid w:val="00FE2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084"/>
    <w:pPr>
      <w:ind w:left="720"/>
      <w:contextualSpacing/>
    </w:pPr>
  </w:style>
  <w:style w:type="table" w:styleId="TableGrid">
    <w:name w:val="Table Grid"/>
    <w:basedOn w:val="TableNormal"/>
    <w:uiPriority w:val="59"/>
    <w:rsid w:val="00D0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2016-06-06T12:10:00Z</cp:lastPrinted>
  <dcterms:created xsi:type="dcterms:W3CDTF">2017-03-14T20:49:00Z</dcterms:created>
  <dcterms:modified xsi:type="dcterms:W3CDTF">2017-03-14T20:56:00Z</dcterms:modified>
</cp:coreProperties>
</file>