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D5" w:rsidRPr="001F17B2" w:rsidRDefault="00125965" w:rsidP="00B204AC">
      <w:pPr>
        <w:spacing w:before="0" w:after="200" w:line="252" w:lineRule="auto"/>
        <w:outlineLvl w:val="0"/>
        <w:rPr>
          <w:b/>
          <w:color w:val="237990"/>
          <w:sz w:val="24"/>
          <w:szCs w:val="24"/>
          <w:lang w:val="fr-FR"/>
        </w:rPr>
      </w:pPr>
      <w:r w:rsidRPr="001F17B2">
        <w:rPr>
          <w:b/>
          <w:color w:val="237990"/>
          <w:sz w:val="24"/>
          <w:szCs w:val="24"/>
          <w:lang w:val="fr-FR"/>
        </w:rPr>
        <w:t xml:space="preserve">A. </w:t>
      </w:r>
      <w:r w:rsidR="00A852B9" w:rsidRPr="001F17B2">
        <w:rPr>
          <w:b/>
          <w:color w:val="237990"/>
          <w:sz w:val="24"/>
          <w:szCs w:val="24"/>
          <w:lang w:val="fr-FR"/>
        </w:rPr>
        <w:t>Pour de grandes quantités de vivres distribués dans quelques endroits</w:t>
      </w:r>
    </w:p>
    <w:p w:rsidR="00823AD5" w:rsidRPr="001F17B2" w:rsidRDefault="00A852B9" w:rsidP="00B204AC">
      <w:pPr>
        <w:numPr>
          <w:ilvl w:val="0"/>
          <w:numId w:val="1"/>
        </w:numPr>
        <w:spacing w:before="0" w:line="252" w:lineRule="auto"/>
        <w:rPr>
          <w:rFonts w:ascii="Calibri" w:eastAsia="Times New Roman" w:hAnsi="Calibri" w:cs="Calibri"/>
          <w:lang w:val="fr-FR"/>
        </w:rPr>
      </w:pPr>
      <w:r w:rsidRPr="001F17B2">
        <w:rPr>
          <w:rFonts w:ascii="Calibri" w:eastAsia="Times New Roman" w:hAnsi="Calibri" w:cs="Calibri"/>
          <w:lang w:val="fr-FR"/>
        </w:rPr>
        <w:t xml:space="preserve">Calculer le </w:t>
      </w:r>
      <w:r w:rsidRPr="001F17B2">
        <w:rPr>
          <w:rFonts w:ascii="Calibri" w:eastAsia="Times New Roman" w:hAnsi="Calibri" w:cs="Calibri"/>
          <w:b/>
          <w:lang w:val="fr-FR"/>
        </w:rPr>
        <w:t xml:space="preserve">temps </w:t>
      </w:r>
      <w:r w:rsidR="001F17B2" w:rsidRPr="001F17B2">
        <w:rPr>
          <w:rFonts w:ascii="Calibri" w:eastAsia="Times New Roman" w:hAnsi="Calibri" w:cs="Calibri"/>
          <w:b/>
          <w:lang w:val="fr-FR"/>
        </w:rPr>
        <w:t>de rotation</w:t>
      </w:r>
      <w:r w:rsidRPr="001F17B2">
        <w:rPr>
          <w:rFonts w:ascii="Calibri" w:eastAsia="Times New Roman" w:hAnsi="Calibri" w:cs="Calibri"/>
          <w:b/>
          <w:lang w:val="fr-FR"/>
        </w:rPr>
        <w:t xml:space="preserve"> du véhicule</w:t>
      </w:r>
      <w:r w:rsidRPr="001F17B2">
        <w:rPr>
          <w:rFonts w:ascii="Calibri" w:eastAsia="Times New Roman" w:hAnsi="Calibri" w:cs="Calibri"/>
          <w:lang w:val="fr-FR"/>
        </w:rPr>
        <w:t xml:space="preserve"> (TAT) </w:t>
      </w:r>
      <w:r w:rsidRPr="001F17B2">
        <w:rPr>
          <w:rFonts w:ascii="Calibri" w:eastAsia="Times New Roman" w:hAnsi="Calibri" w:cs="Calibri"/>
          <w:b/>
          <w:lang w:val="fr-FR"/>
        </w:rPr>
        <w:t>pour chaque destination</w:t>
      </w:r>
      <w:r w:rsidRPr="001F17B2">
        <w:rPr>
          <w:rFonts w:ascii="Calibri" w:eastAsia="Times New Roman" w:hAnsi="Calibri" w:cs="Calibri"/>
          <w:lang w:val="fr-FR"/>
        </w:rPr>
        <w:t xml:space="preserve"> (exprimé en jours ou en fractions de jours). Le TAT est le temps nécessaire qu'il faut à un véhicule pour le chargement, le voyage vers sa destination, le déchargement, et le retour pour un nouveau chargement pour le prochain voyage</w:t>
      </w:r>
      <w:r w:rsidR="00823AD5" w:rsidRPr="001F17B2">
        <w:rPr>
          <w:rFonts w:ascii="Calibri" w:eastAsia="Times New Roman" w:hAnsi="Calibri" w:cs="Calibri"/>
          <w:lang w:val="fr-FR"/>
        </w:rPr>
        <w:t>.</w:t>
      </w:r>
    </w:p>
    <w:p w:rsidR="00823AD5" w:rsidRPr="001F17B2" w:rsidRDefault="005E2008" w:rsidP="00B204AC">
      <w:pPr>
        <w:numPr>
          <w:ilvl w:val="0"/>
          <w:numId w:val="1"/>
        </w:numPr>
        <w:spacing w:before="0" w:line="252" w:lineRule="auto"/>
        <w:rPr>
          <w:rFonts w:ascii="Calibri" w:eastAsia="Times New Roman" w:hAnsi="Calibri" w:cs="Calibri"/>
          <w:lang w:val="fr-FR"/>
        </w:rPr>
      </w:pPr>
      <w:r w:rsidRPr="001F17B2">
        <w:rPr>
          <w:rFonts w:ascii="Calibri" w:eastAsia="Times New Roman" w:hAnsi="Calibri" w:cs="Calibri"/>
          <w:lang w:val="fr-FR"/>
        </w:rPr>
        <w:t xml:space="preserve">Calculer la </w:t>
      </w:r>
      <w:r w:rsidRPr="001F17B2">
        <w:rPr>
          <w:rFonts w:ascii="Calibri" w:eastAsia="Times New Roman" w:hAnsi="Calibri" w:cs="Calibri"/>
          <w:b/>
          <w:lang w:val="fr-FR"/>
        </w:rPr>
        <w:t>capacité de</w:t>
      </w:r>
      <w:r w:rsidR="001F17B2" w:rsidRPr="001F17B2">
        <w:rPr>
          <w:rFonts w:ascii="Calibri" w:eastAsia="Times New Roman" w:hAnsi="Calibri" w:cs="Calibri"/>
          <w:b/>
          <w:lang w:val="fr-FR"/>
        </w:rPr>
        <w:t xml:space="preserve"> transport</w:t>
      </w:r>
      <w:r w:rsidRPr="001F17B2">
        <w:rPr>
          <w:rFonts w:ascii="Calibri" w:eastAsia="Times New Roman" w:hAnsi="Calibri" w:cs="Calibri"/>
          <w:b/>
          <w:lang w:val="fr-FR"/>
        </w:rPr>
        <w:t xml:space="preserve"> quotidienne</w:t>
      </w:r>
      <w:r w:rsidR="00027AE5">
        <w:rPr>
          <w:rFonts w:ascii="Calibri" w:eastAsia="Times New Roman" w:hAnsi="Calibri" w:cs="Calibri"/>
          <w:lang w:val="fr-FR"/>
        </w:rPr>
        <w:t xml:space="preserve"> requise (exprimée en tonnes</w:t>
      </w:r>
      <w:r w:rsidRPr="001F17B2">
        <w:rPr>
          <w:rFonts w:ascii="Calibri" w:eastAsia="Times New Roman" w:hAnsi="Calibri" w:cs="Calibri"/>
          <w:lang w:val="fr-FR"/>
        </w:rPr>
        <w:t xml:space="preserve"> par jour)</w:t>
      </w:r>
      <w:r w:rsidR="00823AD5" w:rsidRPr="001F17B2">
        <w:rPr>
          <w:rFonts w:ascii="Calibri" w:eastAsia="Times New Roman" w:hAnsi="Calibri" w:cs="Calibri"/>
          <w:lang w:val="fr-FR"/>
        </w:rPr>
        <w:t>:</w:t>
      </w:r>
    </w:p>
    <w:p w:rsidR="00823AD5" w:rsidRPr="001F17B2" w:rsidRDefault="00411561" w:rsidP="00823AD5">
      <w:pPr>
        <w:spacing w:before="0" w:after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11561">
        <w:rPr>
          <w:rFonts w:ascii="Garamond" w:eastAsia="Times New Roman" w:hAnsi="Garamond" w:cs="Times New Roman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20" o:spid="_x0000_s1026" type="#_x0000_t185" style="position:absolute;margin-left:2in;margin-top:7.85pt;width:252pt;height: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"/>
        </w:pict>
      </w:r>
    </w:p>
    <w:tbl>
      <w:tblPr>
        <w:tblW w:w="0" w:type="auto"/>
        <w:jc w:val="center"/>
        <w:tblLook w:val="01E0"/>
      </w:tblPr>
      <w:tblGrid>
        <w:gridCol w:w="1331"/>
        <w:gridCol w:w="540"/>
        <w:gridCol w:w="2487"/>
        <w:gridCol w:w="393"/>
        <w:gridCol w:w="2160"/>
      </w:tblGrid>
      <w:tr w:rsidR="00823AD5" w:rsidRPr="001F17B2" w:rsidTr="00004160">
        <w:trPr>
          <w:trHeight w:val="432"/>
          <w:jc w:val="center"/>
        </w:trPr>
        <w:tc>
          <w:tcPr>
            <w:tcW w:w="1260" w:type="dxa"/>
            <w:vMerge w:val="restart"/>
            <w:vAlign w:val="center"/>
          </w:tcPr>
          <w:p w:rsidR="00823AD5" w:rsidRPr="001F17B2" w:rsidRDefault="005E2008" w:rsidP="00004160">
            <w:pPr>
              <w:spacing w:before="0" w:after="0"/>
              <w:jc w:val="center"/>
              <w:rPr>
                <w:rFonts w:eastAsia="Times New Roman" w:cs="Arial"/>
                <w:b/>
                <w:lang w:val="fr-FR"/>
              </w:rPr>
            </w:pPr>
            <w:r w:rsidRPr="001F17B2">
              <w:rPr>
                <w:rFonts w:eastAsia="Times New Roman" w:cs="Arial"/>
                <w:b/>
                <w:lang w:val="fr-FR"/>
              </w:rPr>
              <w:t>Capacité de transport quotidienne</w:t>
            </w:r>
          </w:p>
        </w:tc>
        <w:tc>
          <w:tcPr>
            <w:tcW w:w="540" w:type="dxa"/>
            <w:vMerge w:val="restart"/>
            <w:vAlign w:val="center"/>
          </w:tcPr>
          <w:p w:rsidR="00823AD5" w:rsidRPr="001F17B2" w:rsidRDefault="00823AD5" w:rsidP="00004160">
            <w:pPr>
              <w:spacing w:before="0" w:after="0"/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  <w:r w:rsidRPr="001F17B2">
              <w:rPr>
                <w:rFonts w:ascii="Arial" w:eastAsia="Times New Roman" w:hAnsi="Arial" w:cs="Arial"/>
                <w:b/>
                <w:lang w:val="fr-FR"/>
              </w:rPr>
              <w:t>=</w:t>
            </w:r>
          </w:p>
        </w:tc>
        <w:tc>
          <w:tcPr>
            <w:tcW w:w="5040" w:type="dxa"/>
            <w:gridSpan w:val="3"/>
            <w:tcBorders>
              <w:bottom w:val="single" w:sz="12" w:space="0" w:color="auto"/>
            </w:tcBorders>
            <w:vAlign w:val="center"/>
          </w:tcPr>
          <w:p w:rsidR="00823AD5" w:rsidRPr="001F17B2" w:rsidRDefault="005E2008" w:rsidP="0000416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F17B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Poids total à expédier (en </w:t>
            </w:r>
            <w:r w:rsidR="00027AE5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t</w:t>
            </w:r>
            <w:r w:rsidRPr="001F17B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onnes)</w:t>
            </w:r>
          </w:p>
        </w:tc>
      </w:tr>
      <w:tr w:rsidR="00823AD5" w:rsidRPr="001F17B2" w:rsidTr="00004160">
        <w:trPr>
          <w:trHeight w:val="432"/>
          <w:jc w:val="center"/>
        </w:trPr>
        <w:tc>
          <w:tcPr>
            <w:tcW w:w="1260" w:type="dxa"/>
            <w:vMerge/>
          </w:tcPr>
          <w:p w:rsidR="00823AD5" w:rsidRPr="001F17B2" w:rsidRDefault="00823AD5" w:rsidP="00004160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40" w:type="dxa"/>
            <w:vMerge/>
          </w:tcPr>
          <w:p w:rsidR="00823AD5" w:rsidRPr="001F17B2" w:rsidRDefault="00823AD5" w:rsidP="00004160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87" w:type="dxa"/>
            <w:tcBorders>
              <w:top w:val="single" w:sz="12" w:space="0" w:color="auto"/>
            </w:tcBorders>
            <w:vAlign w:val="center"/>
          </w:tcPr>
          <w:p w:rsidR="00823AD5" w:rsidRPr="001F17B2" w:rsidRDefault="001F17B2" w:rsidP="00004160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F17B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Nbre </w:t>
            </w:r>
            <w:r w:rsidR="005E2008" w:rsidRPr="001F17B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des jours de livraison</w:t>
            </w:r>
          </w:p>
        </w:tc>
        <w:tc>
          <w:tcPr>
            <w:tcW w:w="393" w:type="dxa"/>
            <w:tcBorders>
              <w:top w:val="single" w:sz="12" w:space="0" w:color="auto"/>
            </w:tcBorders>
            <w:vAlign w:val="center"/>
          </w:tcPr>
          <w:p w:rsidR="00823AD5" w:rsidRPr="001F17B2" w:rsidRDefault="00823AD5" w:rsidP="00004160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F17B2">
              <w:rPr>
                <w:rFonts w:ascii="Arial" w:eastAsia="Times New Roman" w:hAnsi="Arial" w:cs="Arial"/>
                <w:b/>
                <w:sz w:val="28"/>
                <w:szCs w:val="28"/>
                <w:lang w:val="fr-FR"/>
              </w:rPr>
              <w:t>/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823AD5" w:rsidRPr="001F17B2" w:rsidRDefault="005E2008" w:rsidP="00004160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F17B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Temps d'exécution (TAT) exprimé en jours</w:t>
            </w:r>
          </w:p>
        </w:tc>
      </w:tr>
    </w:tbl>
    <w:p w:rsidR="00823AD5" w:rsidRPr="001F17B2" w:rsidRDefault="001F17B2" w:rsidP="00B204AC">
      <w:pPr>
        <w:numPr>
          <w:ilvl w:val="0"/>
          <w:numId w:val="1"/>
        </w:numPr>
        <w:spacing w:before="200" w:line="252" w:lineRule="auto"/>
        <w:rPr>
          <w:rFonts w:ascii="Calibri" w:eastAsia="Times New Roman" w:hAnsi="Calibri" w:cs="Calibri"/>
          <w:lang w:val="fr-FR"/>
        </w:rPr>
      </w:pPr>
      <w:r w:rsidRPr="001F17B2">
        <w:rPr>
          <w:rFonts w:ascii="Calibri" w:eastAsia="Times New Roman" w:hAnsi="Calibri" w:cs="Calibri"/>
          <w:lang w:val="fr-FR"/>
        </w:rPr>
        <w:t>Déterminer</w:t>
      </w:r>
      <w:r w:rsidR="005E2008" w:rsidRPr="001F17B2">
        <w:rPr>
          <w:rFonts w:ascii="Calibri" w:eastAsia="Times New Roman" w:hAnsi="Calibri" w:cs="Calibri"/>
          <w:lang w:val="fr-FR"/>
        </w:rPr>
        <w:t xml:space="preserve"> la </w:t>
      </w:r>
      <w:r w:rsidR="005E2008" w:rsidRPr="001F17B2">
        <w:rPr>
          <w:rFonts w:ascii="Calibri" w:eastAsia="Times New Roman" w:hAnsi="Calibri" w:cs="Calibri"/>
          <w:b/>
          <w:lang w:val="fr-FR"/>
        </w:rPr>
        <w:t>capacité d'un seul camion</w:t>
      </w:r>
      <w:r w:rsidR="005E2008" w:rsidRPr="001F17B2">
        <w:rPr>
          <w:rFonts w:ascii="Calibri" w:eastAsia="Times New Roman" w:hAnsi="Calibri" w:cs="Calibri"/>
          <w:lang w:val="fr-FR"/>
        </w:rPr>
        <w:t xml:space="preserve"> (c.-à-d. Combien de tonnes un camion peut transporter). Étant donné que de nombreux sites de distribution sont situés dans des régions éloignées, les camions de courts trajets e</w:t>
      </w:r>
      <w:r w:rsidRPr="001F17B2">
        <w:rPr>
          <w:rFonts w:ascii="Calibri" w:eastAsia="Times New Roman" w:hAnsi="Calibri" w:cs="Calibri"/>
          <w:lang w:val="fr-FR"/>
        </w:rPr>
        <w:t>t d'une capacité maximale de 8 t</w:t>
      </w:r>
      <w:r w:rsidR="005E2008" w:rsidRPr="001F17B2">
        <w:rPr>
          <w:rFonts w:ascii="Calibri" w:eastAsia="Times New Roman" w:hAnsi="Calibri" w:cs="Calibri"/>
          <w:lang w:val="fr-FR"/>
        </w:rPr>
        <w:t>onnes  feront la majorité des livraisons.</w:t>
      </w:r>
    </w:p>
    <w:p w:rsidR="00823AD5" w:rsidRPr="001F17B2" w:rsidRDefault="005E2008" w:rsidP="00B204AC">
      <w:pPr>
        <w:numPr>
          <w:ilvl w:val="0"/>
          <w:numId w:val="1"/>
        </w:numPr>
        <w:spacing w:before="0" w:line="252" w:lineRule="auto"/>
        <w:rPr>
          <w:rFonts w:ascii="Calibri" w:eastAsia="Times New Roman" w:hAnsi="Calibri" w:cs="Calibri"/>
          <w:lang w:val="fr-FR"/>
        </w:rPr>
      </w:pPr>
      <w:r w:rsidRPr="001F17B2">
        <w:rPr>
          <w:rFonts w:ascii="Calibri" w:eastAsia="Times New Roman" w:hAnsi="Calibri" w:cs="Calibri"/>
          <w:lang w:val="fr-FR"/>
        </w:rPr>
        <w:t xml:space="preserve">Déterminer </w:t>
      </w:r>
      <w:r w:rsidRPr="001F17B2">
        <w:rPr>
          <w:rFonts w:ascii="Calibri" w:eastAsia="Times New Roman" w:hAnsi="Calibri" w:cs="Calibri"/>
          <w:b/>
          <w:lang w:val="fr-FR"/>
        </w:rPr>
        <w:t>le nombre de camions nécessaires chaque jour</w:t>
      </w:r>
      <w:r w:rsidR="00823AD5" w:rsidRPr="001F17B2">
        <w:rPr>
          <w:rFonts w:ascii="Calibri" w:eastAsia="Times New Roman" w:hAnsi="Calibri" w:cs="Calibri"/>
          <w:lang w:val="fr-FR"/>
        </w:rPr>
        <w:t>:</w:t>
      </w:r>
    </w:p>
    <w:p w:rsidR="00823AD5" w:rsidRPr="001F17B2" w:rsidRDefault="00411561" w:rsidP="00823AD5">
      <w:pPr>
        <w:spacing w:before="0" w:after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11561">
        <w:rPr>
          <w:rFonts w:ascii="Arial" w:eastAsia="Times New Roman" w:hAnsi="Arial" w:cs="Arial"/>
          <w:noProof/>
          <w:sz w:val="18"/>
          <w:szCs w:val="18"/>
        </w:rPr>
        <w:pict>
          <v:shape id="AutoShape 16" o:spid="_x0000_s1028" type="#_x0000_t185" style="position:absolute;margin-left:174.75pt;margin-top:10.05pt;width:149.2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"/>
        </w:pict>
      </w:r>
    </w:p>
    <w:tbl>
      <w:tblPr>
        <w:tblW w:w="0" w:type="auto"/>
        <w:tblInd w:w="1188" w:type="dxa"/>
        <w:tblBorders>
          <w:insideH w:val="single" w:sz="12" w:space="0" w:color="auto"/>
        </w:tblBorders>
        <w:tblLook w:val="01E0"/>
      </w:tblPr>
      <w:tblGrid>
        <w:gridCol w:w="1980"/>
        <w:gridCol w:w="457"/>
        <w:gridCol w:w="2963"/>
      </w:tblGrid>
      <w:tr w:rsidR="00823AD5" w:rsidRPr="001F17B2" w:rsidTr="00004160">
        <w:tc>
          <w:tcPr>
            <w:tcW w:w="1980" w:type="dxa"/>
            <w:vMerge w:val="restart"/>
            <w:tcBorders>
              <w:top w:val="nil"/>
            </w:tcBorders>
            <w:vAlign w:val="center"/>
          </w:tcPr>
          <w:p w:rsidR="00823AD5" w:rsidRPr="001F17B2" w:rsidRDefault="005E2008" w:rsidP="00A15DB4">
            <w:pPr>
              <w:spacing w:before="0" w:after="0"/>
              <w:jc w:val="center"/>
              <w:rPr>
                <w:rFonts w:eastAsia="Times New Roman" w:cs="Arial"/>
                <w:lang w:val="fr-FR"/>
              </w:rPr>
            </w:pPr>
            <w:r w:rsidRPr="001F17B2">
              <w:rPr>
                <w:rFonts w:ascii="Calibri" w:eastAsia="Times New Roman" w:hAnsi="Calibri" w:cs="Calibri"/>
                <w:b/>
                <w:lang w:val="fr-FR"/>
              </w:rPr>
              <w:t>Nombre de camions nécessaires chaque jour</w:t>
            </w:r>
          </w:p>
        </w:tc>
        <w:tc>
          <w:tcPr>
            <w:tcW w:w="457" w:type="dxa"/>
            <w:vMerge w:val="restart"/>
            <w:tcBorders>
              <w:top w:val="nil"/>
            </w:tcBorders>
            <w:vAlign w:val="center"/>
          </w:tcPr>
          <w:p w:rsidR="00823AD5" w:rsidRPr="001F17B2" w:rsidRDefault="00823AD5" w:rsidP="00A15DB4">
            <w:pPr>
              <w:spacing w:before="0" w:after="0"/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  <w:r w:rsidRPr="001F17B2">
              <w:rPr>
                <w:rFonts w:ascii="Arial" w:eastAsia="Times New Roman" w:hAnsi="Arial" w:cs="Arial"/>
                <w:b/>
                <w:lang w:val="fr-FR"/>
              </w:rPr>
              <w:t>=</w:t>
            </w:r>
          </w:p>
        </w:tc>
        <w:tc>
          <w:tcPr>
            <w:tcW w:w="2963" w:type="dxa"/>
          </w:tcPr>
          <w:p w:rsidR="00823AD5" w:rsidRPr="001F17B2" w:rsidRDefault="005E2008" w:rsidP="00004160">
            <w:pPr>
              <w:spacing w:before="0"/>
              <w:jc w:val="center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  <w:r w:rsidRPr="001F17B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Capacité de transport quotidienne (en tonnes</w:t>
            </w:r>
            <w:r w:rsidR="00823AD5" w:rsidRPr="001F17B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)</w:t>
            </w:r>
          </w:p>
        </w:tc>
      </w:tr>
      <w:tr w:rsidR="00823AD5" w:rsidRPr="001F17B2" w:rsidTr="00004160">
        <w:tc>
          <w:tcPr>
            <w:tcW w:w="1980" w:type="dxa"/>
            <w:vMerge/>
            <w:tcBorders>
              <w:bottom w:val="nil"/>
            </w:tcBorders>
          </w:tcPr>
          <w:p w:rsidR="00823AD5" w:rsidRPr="001F17B2" w:rsidRDefault="00823AD5" w:rsidP="0000416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457" w:type="dxa"/>
            <w:vMerge/>
            <w:tcBorders>
              <w:bottom w:val="nil"/>
            </w:tcBorders>
            <w:vAlign w:val="center"/>
          </w:tcPr>
          <w:p w:rsidR="00823AD5" w:rsidRPr="001F17B2" w:rsidRDefault="00823AD5" w:rsidP="0000416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963" w:type="dxa"/>
          </w:tcPr>
          <w:p w:rsidR="00823AD5" w:rsidRPr="001F17B2" w:rsidRDefault="005E2008" w:rsidP="005E200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  <w:r w:rsidRPr="001F17B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Capacité d'un seul camion </w:t>
            </w:r>
            <w:r w:rsidR="00823AD5" w:rsidRPr="001F17B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(</w:t>
            </w:r>
            <w:r w:rsidR="00027AE5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en t</w:t>
            </w:r>
            <w:bookmarkStart w:id="0" w:name="_GoBack"/>
            <w:bookmarkEnd w:id="0"/>
            <w:r w:rsidRPr="001F17B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onnes</w:t>
            </w:r>
            <w:r w:rsidR="00823AD5" w:rsidRPr="001F17B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)</w:t>
            </w:r>
          </w:p>
        </w:tc>
      </w:tr>
    </w:tbl>
    <w:p w:rsidR="00823AD5" w:rsidRPr="001F17B2" w:rsidRDefault="00823AD5" w:rsidP="00125965">
      <w:pPr>
        <w:spacing w:before="0" w:after="0"/>
        <w:rPr>
          <w:rFonts w:eastAsia="Times New Roman" w:cs="Calibri"/>
          <w:lang w:val="fr-FR"/>
        </w:rPr>
      </w:pPr>
    </w:p>
    <w:p w:rsidR="00823AD5" w:rsidRPr="001F17B2" w:rsidRDefault="00823AD5" w:rsidP="00823AD5">
      <w:pPr>
        <w:spacing w:before="0" w:after="0"/>
        <w:rPr>
          <w:rFonts w:eastAsia="Times New Roman" w:cs="Times New Roman"/>
          <w:lang w:val="fr-FR"/>
        </w:rPr>
      </w:pPr>
    </w:p>
    <w:p w:rsidR="00823AD5" w:rsidRPr="001F17B2" w:rsidRDefault="00125965" w:rsidP="00141D6B">
      <w:pPr>
        <w:spacing w:before="0" w:after="200" w:line="252" w:lineRule="auto"/>
        <w:rPr>
          <w:rFonts w:eastAsia="Times New Roman" w:cs="Arial"/>
          <w:b/>
          <w:color w:val="237990"/>
          <w:sz w:val="24"/>
          <w:szCs w:val="24"/>
          <w:lang w:val="fr-FR"/>
        </w:rPr>
      </w:pPr>
      <w:r w:rsidRPr="001F17B2">
        <w:rPr>
          <w:rFonts w:eastAsia="Times New Roman" w:cs="Arial"/>
          <w:b/>
          <w:color w:val="237990"/>
          <w:sz w:val="24"/>
          <w:szCs w:val="24"/>
          <w:lang w:val="fr-FR"/>
        </w:rPr>
        <w:t xml:space="preserve">B. </w:t>
      </w:r>
      <w:r w:rsidR="005874F0" w:rsidRPr="001F17B2">
        <w:rPr>
          <w:rFonts w:eastAsia="Times New Roman" w:cs="Arial"/>
          <w:b/>
          <w:color w:val="237990"/>
          <w:sz w:val="24"/>
          <w:szCs w:val="24"/>
          <w:lang w:val="fr-FR"/>
        </w:rPr>
        <w:t>Pour les petites quantités de vivres distribués dans de nombreux pays</w:t>
      </w:r>
    </w:p>
    <w:p w:rsidR="00823AD5" w:rsidRPr="001F17B2" w:rsidRDefault="005874F0" w:rsidP="00141D6B">
      <w:pPr>
        <w:spacing w:before="0" w:after="200" w:line="252" w:lineRule="auto"/>
        <w:rPr>
          <w:rFonts w:eastAsia="Times New Roman" w:cs="Calibri"/>
          <w:lang w:val="fr-FR"/>
        </w:rPr>
      </w:pPr>
      <w:r w:rsidRPr="001F17B2">
        <w:rPr>
          <w:rFonts w:eastAsia="Times New Roman" w:cs="Calibri"/>
          <w:lang w:val="fr-FR"/>
        </w:rPr>
        <w:t xml:space="preserve">Lorsque les quantités par destination sont inférieures à la capacité des camions disponibles et que les destinations sont situées à proximité, un camion peut </w:t>
      </w:r>
      <w:r w:rsidR="00AE491C" w:rsidRPr="001F17B2">
        <w:rPr>
          <w:rFonts w:eastAsia="Times New Roman" w:cs="Calibri"/>
          <w:lang w:val="fr-FR"/>
        </w:rPr>
        <w:t>livrer</w:t>
      </w:r>
      <w:r w:rsidRPr="001F17B2">
        <w:rPr>
          <w:rFonts w:eastAsia="Times New Roman" w:cs="Calibri"/>
          <w:lang w:val="fr-FR"/>
        </w:rPr>
        <w:t xml:space="preserve"> plusieurs sites avant de retourner à l'entrepôt pour le rechargement</w:t>
      </w:r>
      <w:r w:rsidR="00823AD5" w:rsidRPr="001F17B2">
        <w:rPr>
          <w:rFonts w:eastAsia="Times New Roman" w:cs="Calibri"/>
          <w:lang w:val="fr-FR"/>
        </w:rPr>
        <w:t>.</w:t>
      </w:r>
    </w:p>
    <w:p w:rsidR="00823AD5" w:rsidRPr="001F17B2" w:rsidRDefault="00AE491C" w:rsidP="00AE491C">
      <w:pPr>
        <w:numPr>
          <w:ilvl w:val="0"/>
          <w:numId w:val="2"/>
        </w:numPr>
        <w:spacing w:before="0" w:after="200" w:line="252" w:lineRule="auto"/>
        <w:rPr>
          <w:rFonts w:eastAsia="Times New Roman" w:cs="Calibri"/>
          <w:lang w:val="fr-FR"/>
        </w:rPr>
      </w:pPr>
      <w:r w:rsidRPr="001F17B2">
        <w:rPr>
          <w:rFonts w:eastAsia="Times New Roman" w:cs="Calibri"/>
          <w:b/>
          <w:lang w:val="fr-FR"/>
        </w:rPr>
        <w:t>Regroupe</w:t>
      </w:r>
      <w:r w:rsidR="001F17B2" w:rsidRPr="001F17B2">
        <w:rPr>
          <w:rFonts w:eastAsia="Times New Roman" w:cs="Calibri"/>
          <w:b/>
          <w:lang w:val="fr-FR"/>
        </w:rPr>
        <w:t>r</w:t>
      </w:r>
      <w:r w:rsidRPr="001F17B2">
        <w:rPr>
          <w:rFonts w:eastAsia="Times New Roman" w:cs="Calibri"/>
          <w:b/>
          <w:lang w:val="fr-FR"/>
        </w:rPr>
        <w:t xml:space="preserve"> les sites de destination pouvant être desservis par un seul </w:t>
      </w:r>
      <w:r w:rsidRPr="001F17B2">
        <w:rPr>
          <w:rFonts w:eastAsia="Times New Roman" w:cs="Calibri"/>
          <w:lang w:val="fr-FR"/>
        </w:rPr>
        <w:t>véhicule en une seule journée. Assurer un temps suffisant pour le chargement à l'entrepôt, le déchargement sur chaque site et le retour à l'entrepôt</w:t>
      </w:r>
      <w:r w:rsidR="00823AD5" w:rsidRPr="001F17B2">
        <w:rPr>
          <w:rFonts w:eastAsia="Times New Roman" w:cs="Calibri"/>
          <w:lang w:val="fr-FR"/>
        </w:rPr>
        <w:t>.</w:t>
      </w:r>
    </w:p>
    <w:p w:rsidR="00823AD5" w:rsidRPr="001F17B2" w:rsidRDefault="002D1988" w:rsidP="002D1988">
      <w:pPr>
        <w:numPr>
          <w:ilvl w:val="0"/>
          <w:numId w:val="2"/>
        </w:numPr>
        <w:spacing w:before="0" w:after="200" w:line="252" w:lineRule="auto"/>
        <w:rPr>
          <w:rFonts w:eastAsia="Times New Roman" w:cs="Calibri"/>
          <w:lang w:val="fr-FR"/>
        </w:rPr>
      </w:pPr>
      <w:r w:rsidRPr="001F17B2">
        <w:rPr>
          <w:rFonts w:eastAsia="Times New Roman" w:cs="Calibri"/>
          <w:lang w:val="fr-FR"/>
        </w:rPr>
        <w:t xml:space="preserve">En supposant que chaque groupe peut être </w:t>
      </w:r>
      <w:r w:rsidR="001F17B2" w:rsidRPr="001F17B2">
        <w:rPr>
          <w:rFonts w:eastAsia="Times New Roman" w:cs="Calibri"/>
          <w:lang w:val="fr-FR"/>
        </w:rPr>
        <w:t>desservi</w:t>
      </w:r>
      <w:r w:rsidRPr="001F17B2">
        <w:rPr>
          <w:rFonts w:eastAsia="Times New Roman" w:cs="Calibri"/>
          <w:lang w:val="fr-FR"/>
        </w:rPr>
        <w:t xml:space="preserve"> en une journée, </w:t>
      </w:r>
      <w:r w:rsidRPr="001F17B2">
        <w:rPr>
          <w:rFonts w:eastAsia="Times New Roman" w:cs="Calibri"/>
          <w:b/>
          <w:lang w:val="fr-FR"/>
        </w:rPr>
        <w:t>calculer le nombre de camions nécessaires chaque jour</w:t>
      </w:r>
      <w:r w:rsidR="00823AD5" w:rsidRPr="001F17B2">
        <w:rPr>
          <w:rFonts w:eastAsia="Times New Roman" w:cs="Calibri"/>
          <w:lang w:val="fr-FR"/>
        </w:rPr>
        <w:t>:</w:t>
      </w:r>
    </w:p>
    <w:p w:rsidR="00823AD5" w:rsidRPr="001F17B2" w:rsidRDefault="00411561" w:rsidP="00823AD5">
      <w:pPr>
        <w:spacing w:before="0" w:after="0"/>
        <w:rPr>
          <w:rFonts w:eastAsia="Times New Roman" w:cs="Times New Roman"/>
          <w:lang w:val="fr-FR"/>
        </w:rPr>
      </w:pPr>
      <w:r w:rsidRPr="00411561">
        <w:rPr>
          <w:rFonts w:eastAsia="Times New Roman" w:cs="Arial"/>
          <w:noProof/>
        </w:rPr>
        <w:pict>
          <v:shape id="AutoShape 17" o:spid="_x0000_s1027" type="#_x0000_t185" style="position:absolute;margin-left:176.25pt;margin-top:8.55pt;width:2in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"/>
        </w:pict>
      </w:r>
    </w:p>
    <w:tbl>
      <w:tblPr>
        <w:tblW w:w="0" w:type="auto"/>
        <w:tblInd w:w="1195" w:type="dxa"/>
        <w:tblBorders>
          <w:insideH w:val="single" w:sz="12" w:space="0" w:color="auto"/>
        </w:tblBorders>
        <w:tblLook w:val="01E0"/>
      </w:tblPr>
      <w:tblGrid>
        <w:gridCol w:w="1903"/>
        <w:gridCol w:w="553"/>
        <w:gridCol w:w="2880"/>
      </w:tblGrid>
      <w:tr w:rsidR="00A15DB4" w:rsidRPr="001F17B2" w:rsidTr="00A15DB4">
        <w:tc>
          <w:tcPr>
            <w:tcW w:w="1903" w:type="dxa"/>
            <w:vMerge w:val="restart"/>
            <w:tcBorders>
              <w:top w:val="nil"/>
            </w:tcBorders>
            <w:vAlign w:val="center"/>
          </w:tcPr>
          <w:p w:rsidR="00A15DB4" w:rsidRPr="001F17B2" w:rsidRDefault="002D1988" w:rsidP="00A15DB4">
            <w:pPr>
              <w:spacing w:before="0" w:after="0"/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  <w:r w:rsidRPr="001F17B2">
              <w:rPr>
                <w:rFonts w:eastAsia="Times New Roman" w:cs="Arial"/>
                <w:b/>
                <w:lang w:val="fr-FR"/>
              </w:rPr>
              <w:t>Nombre de camions nécessaires chaque jour</w:t>
            </w:r>
          </w:p>
        </w:tc>
        <w:tc>
          <w:tcPr>
            <w:tcW w:w="553" w:type="dxa"/>
            <w:vMerge w:val="restart"/>
            <w:tcBorders>
              <w:top w:val="nil"/>
            </w:tcBorders>
            <w:vAlign w:val="center"/>
          </w:tcPr>
          <w:p w:rsidR="00A15DB4" w:rsidRPr="001F17B2" w:rsidRDefault="00A15DB4" w:rsidP="00A15DB4">
            <w:pPr>
              <w:spacing w:before="0" w:after="0"/>
              <w:jc w:val="center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  <w:r w:rsidRPr="001F17B2">
              <w:rPr>
                <w:rFonts w:ascii="Arial" w:eastAsia="Times New Roman" w:hAnsi="Arial" w:cs="Arial"/>
                <w:b/>
                <w:lang w:val="fr-FR"/>
              </w:rPr>
              <w:t>=</w:t>
            </w:r>
          </w:p>
        </w:tc>
        <w:tc>
          <w:tcPr>
            <w:tcW w:w="2880" w:type="dxa"/>
          </w:tcPr>
          <w:p w:rsidR="00A15DB4" w:rsidRPr="001F17B2" w:rsidRDefault="001F17B2" w:rsidP="00C148B0">
            <w:pPr>
              <w:spacing w:before="0"/>
              <w:jc w:val="center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  <w:r w:rsidRPr="001F17B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Nbre </w:t>
            </w:r>
            <w:r w:rsidR="002D1988" w:rsidRPr="001F17B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de "groupes" des sites de distribution</w:t>
            </w:r>
          </w:p>
        </w:tc>
      </w:tr>
      <w:tr w:rsidR="00A15DB4" w:rsidRPr="001F17B2" w:rsidTr="00A15DB4">
        <w:tc>
          <w:tcPr>
            <w:tcW w:w="1903" w:type="dxa"/>
            <w:vMerge/>
            <w:tcBorders>
              <w:bottom w:val="nil"/>
            </w:tcBorders>
          </w:tcPr>
          <w:p w:rsidR="00A15DB4" w:rsidRPr="001F17B2" w:rsidRDefault="00A15DB4" w:rsidP="0000416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553" w:type="dxa"/>
            <w:vMerge/>
            <w:tcBorders>
              <w:bottom w:val="nil"/>
            </w:tcBorders>
          </w:tcPr>
          <w:p w:rsidR="00A15DB4" w:rsidRPr="001F17B2" w:rsidRDefault="00A15DB4" w:rsidP="00004160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880" w:type="dxa"/>
          </w:tcPr>
          <w:p w:rsidR="00A15DB4" w:rsidRPr="001F17B2" w:rsidRDefault="001F17B2" w:rsidP="001F17B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  <w:r w:rsidRPr="001F17B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Nbre</w:t>
            </w:r>
            <w:r w:rsidR="00A15DB4" w:rsidRPr="001F17B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 </w:t>
            </w:r>
            <w:r w:rsidR="002D1988" w:rsidRPr="001F17B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des jours </w:t>
            </w:r>
            <w:r w:rsidRPr="001F17B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dans un</w:t>
            </w:r>
            <w:r w:rsidR="002D1988" w:rsidRPr="001F17B2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 cycle</w:t>
            </w:r>
          </w:p>
        </w:tc>
      </w:tr>
    </w:tbl>
    <w:p w:rsidR="00823AD5" w:rsidRPr="001F17B2" w:rsidRDefault="00823AD5" w:rsidP="00823AD5">
      <w:pPr>
        <w:spacing w:before="0" w:after="0"/>
        <w:rPr>
          <w:rFonts w:eastAsia="Times New Roman" w:cs="Times New Roman"/>
          <w:lang w:val="fr-FR"/>
        </w:rPr>
      </w:pPr>
    </w:p>
    <w:p w:rsidR="002D1988" w:rsidRPr="001F17B2" w:rsidRDefault="002D1988" w:rsidP="00141D6B">
      <w:pPr>
        <w:spacing w:before="0" w:after="200" w:line="252" w:lineRule="auto"/>
        <w:ind w:left="360"/>
        <w:rPr>
          <w:rFonts w:eastAsia="Times New Roman" w:cs="Calibri"/>
          <w:lang w:val="fr-FR"/>
        </w:rPr>
      </w:pPr>
      <w:r w:rsidRPr="001F17B2">
        <w:rPr>
          <w:rFonts w:eastAsia="Times New Roman" w:cs="Calibri"/>
          <w:lang w:val="fr-FR"/>
        </w:rPr>
        <w:t>Augmenter le nombre de camions disponibles par jour signifie que les distributions à tous les groupes peuvent être effectuées dans une période de temps inférieure au cycle de distribution (ou au nombre de jours dans le cycle).</w:t>
      </w:r>
    </w:p>
    <w:p w:rsidR="000915D3" w:rsidRPr="001F17B2" w:rsidRDefault="002D1988" w:rsidP="00B204AC">
      <w:pPr>
        <w:spacing w:before="0" w:after="200" w:line="252" w:lineRule="auto"/>
        <w:ind w:left="360"/>
        <w:rPr>
          <w:rFonts w:eastAsia="Times New Roman" w:cs="Calibri"/>
          <w:lang w:val="fr-FR"/>
        </w:rPr>
      </w:pPr>
      <w:r w:rsidRPr="001F17B2">
        <w:rPr>
          <w:rFonts w:eastAsia="Times New Roman" w:cs="Calibri"/>
          <w:b/>
          <w:lang w:val="fr-FR"/>
        </w:rPr>
        <w:lastRenderedPageBreak/>
        <w:t>Remarque</w:t>
      </w:r>
      <w:r w:rsidR="000915D3" w:rsidRPr="001F17B2">
        <w:rPr>
          <w:rFonts w:eastAsia="Times New Roman" w:cs="Calibri"/>
          <w:b/>
          <w:lang w:val="fr-FR"/>
        </w:rPr>
        <w:t>:</w:t>
      </w:r>
      <w:r w:rsidR="000915D3" w:rsidRPr="001F17B2">
        <w:rPr>
          <w:rFonts w:eastAsia="Times New Roman" w:cs="Calibri"/>
          <w:lang w:val="fr-FR"/>
        </w:rPr>
        <w:t xml:space="preserve"> </w:t>
      </w:r>
      <w:r w:rsidRPr="001F17B2">
        <w:rPr>
          <w:rFonts w:eastAsia="Times New Roman" w:cs="Calibri"/>
          <w:lang w:val="fr-FR"/>
        </w:rPr>
        <w:t>Sur la base de l'évaluation de la capacité de transport, il peut être nécessaire de contracter deux types de transport: un type de transport de vivres du port vers un entrepôt principal et un autre type de transport de vivres vers des entrepôts secondaires et / ou des points de distribution</w:t>
      </w:r>
      <w:r w:rsidR="000915D3" w:rsidRPr="001F17B2">
        <w:rPr>
          <w:rFonts w:eastAsia="Times New Roman" w:cs="Calibri"/>
          <w:lang w:val="fr-FR"/>
        </w:rPr>
        <w:t>.</w:t>
      </w:r>
    </w:p>
    <w:sectPr w:rsidR="000915D3" w:rsidRPr="001F17B2" w:rsidSect="00125965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573" w:rsidRDefault="00823573" w:rsidP="00823AD5">
      <w:pPr>
        <w:spacing w:before="0" w:after="0"/>
      </w:pPr>
      <w:r>
        <w:separator/>
      </w:r>
    </w:p>
  </w:endnote>
  <w:endnote w:type="continuationSeparator" w:id="0">
    <w:p w:rsidR="00823573" w:rsidRDefault="00823573" w:rsidP="00823AD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097444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125965" w:rsidRPr="00141D6B" w:rsidRDefault="00125965">
            <w:pPr>
              <w:pStyle w:val="Footer"/>
              <w:jc w:val="center"/>
            </w:pPr>
            <w:r w:rsidRPr="00141D6B">
              <w:t xml:space="preserve">Page </w:t>
            </w:r>
            <w:r w:rsidR="00411561" w:rsidRPr="00141D6B">
              <w:fldChar w:fldCharType="begin"/>
            </w:r>
            <w:r w:rsidRPr="00141D6B">
              <w:instrText xml:space="preserve"> PAGE </w:instrText>
            </w:r>
            <w:r w:rsidR="00411561" w:rsidRPr="00141D6B">
              <w:fldChar w:fldCharType="separate"/>
            </w:r>
            <w:r w:rsidR="00B204AC">
              <w:rPr>
                <w:noProof/>
              </w:rPr>
              <w:t>1</w:t>
            </w:r>
            <w:r w:rsidR="00411561" w:rsidRPr="00141D6B">
              <w:fldChar w:fldCharType="end"/>
            </w:r>
            <w:r w:rsidRPr="00141D6B">
              <w:t xml:space="preserve"> </w:t>
            </w:r>
            <w:r w:rsidR="001F17B2">
              <w:t>/</w:t>
            </w:r>
            <w:r w:rsidRPr="00141D6B">
              <w:t xml:space="preserve"> </w:t>
            </w:r>
            <w:r w:rsidR="00411561" w:rsidRPr="00141D6B">
              <w:fldChar w:fldCharType="begin"/>
            </w:r>
            <w:r w:rsidRPr="00141D6B">
              <w:instrText xml:space="preserve"> NUMPAGES  </w:instrText>
            </w:r>
            <w:r w:rsidR="00411561" w:rsidRPr="00141D6B">
              <w:fldChar w:fldCharType="separate"/>
            </w:r>
            <w:r w:rsidR="00B204AC">
              <w:rPr>
                <w:noProof/>
              </w:rPr>
              <w:t>1</w:t>
            </w:r>
            <w:r w:rsidR="00411561" w:rsidRPr="00141D6B">
              <w:fldChar w:fldCharType="end"/>
            </w:r>
          </w:p>
        </w:sdtContent>
      </w:sdt>
    </w:sdtContent>
  </w:sdt>
  <w:p w:rsidR="00823AD5" w:rsidRPr="00141D6B" w:rsidRDefault="00823A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573" w:rsidRDefault="00823573" w:rsidP="00823AD5">
      <w:pPr>
        <w:spacing w:before="0" w:after="0"/>
      </w:pPr>
      <w:r>
        <w:separator/>
      </w:r>
    </w:p>
  </w:footnote>
  <w:footnote w:type="continuationSeparator" w:id="0">
    <w:p w:rsidR="00823573" w:rsidRDefault="00823573" w:rsidP="00823AD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D5" w:rsidRPr="000D08E7" w:rsidRDefault="000D08E7" w:rsidP="00125965">
    <w:pPr>
      <w:pStyle w:val="Header"/>
      <w:jc w:val="center"/>
      <w:rPr>
        <w:lang w:val="fr-FR"/>
      </w:rPr>
    </w:pPr>
    <w:r>
      <w:rPr>
        <w:rFonts w:ascii="Calibri" w:eastAsia="Times New Roman" w:hAnsi="Calibri" w:cs="Calibri"/>
        <w:b/>
        <w:color w:val="237990"/>
        <w:sz w:val="28"/>
        <w:szCs w:val="28"/>
        <w:lang w:val="fr-FR"/>
      </w:rPr>
      <w:t>DIRECTIVES sur la détermination des besoins en matière de transport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85671"/>
    <w:multiLevelType w:val="hybridMultilevel"/>
    <w:tmpl w:val="4530D596"/>
    <w:lvl w:ilvl="0" w:tplc="8D3E2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6B9CD2AA">
      <w:start w:val="1"/>
      <w:numFmt w:val="bullet"/>
      <w:lvlText w:val="•"/>
      <w:lvlJc w:val="left"/>
      <w:pPr>
        <w:tabs>
          <w:tab w:val="num" w:pos="1008"/>
        </w:tabs>
        <w:ind w:left="1008" w:hanging="288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8D2C78"/>
    <w:multiLevelType w:val="hybridMultilevel"/>
    <w:tmpl w:val="D5C2272A"/>
    <w:lvl w:ilvl="0" w:tplc="B994FDCC">
      <w:start w:val="1"/>
      <w:numFmt w:val="decimal"/>
      <w:lvlText w:val="%1."/>
      <w:lvlJc w:val="left"/>
      <w:pPr>
        <w:tabs>
          <w:tab w:val="num" w:pos="-72"/>
        </w:tabs>
        <w:ind w:left="-72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10CCAC68">
      <w:start w:val="1"/>
      <w:numFmt w:val="bullet"/>
      <w:lvlText w:val="•"/>
      <w:lvlJc w:val="left"/>
      <w:pPr>
        <w:tabs>
          <w:tab w:val="num" w:pos="576"/>
        </w:tabs>
        <w:ind w:left="576" w:hanging="288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0809000F">
      <w:start w:val="1"/>
      <w:numFmt w:val="decimal"/>
      <w:lvlText w:val="%3."/>
      <w:lvlJc w:val="left"/>
      <w:pPr>
        <w:tabs>
          <w:tab w:val="num" w:pos="648"/>
        </w:tabs>
        <w:ind w:left="648" w:hanging="360"/>
      </w:pPr>
      <w:rPr>
        <w:rFonts w:hint="default"/>
        <w:b/>
        <w:i w:val="0"/>
        <w:sz w:val="24"/>
        <w:szCs w:val="24"/>
      </w:rPr>
    </w:lvl>
    <w:lvl w:ilvl="3" w:tplc="08090001" w:tentative="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23AD5"/>
    <w:rsid w:val="00026341"/>
    <w:rsid w:val="00027AE5"/>
    <w:rsid w:val="000915D3"/>
    <w:rsid w:val="000B75D5"/>
    <w:rsid w:val="000C24E7"/>
    <w:rsid w:val="000D08E7"/>
    <w:rsid w:val="00125965"/>
    <w:rsid w:val="00141D6B"/>
    <w:rsid w:val="00165D64"/>
    <w:rsid w:val="001872BB"/>
    <w:rsid w:val="001F17B2"/>
    <w:rsid w:val="002243F3"/>
    <w:rsid w:val="002305AD"/>
    <w:rsid w:val="00230F56"/>
    <w:rsid w:val="002751A9"/>
    <w:rsid w:val="002859FD"/>
    <w:rsid w:val="002D1988"/>
    <w:rsid w:val="002E0D1A"/>
    <w:rsid w:val="00341B54"/>
    <w:rsid w:val="00371343"/>
    <w:rsid w:val="004007A6"/>
    <w:rsid w:val="00404A18"/>
    <w:rsid w:val="00407BBC"/>
    <w:rsid w:val="00411561"/>
    <w:rsid w:val="00443297"/>
    <w:rsid w:val="004E103B"/>
    <w:rsid w:val="005874F0"/>
    <w:rsid w:val="005B721B"/>
    <w:rsid w:val="005E2008"/>
    <w:rsid w:val="005F27CF"/>
    <w:rsid w:val="00714438"/>
    <w:rsid w:val="00764876"/>
    <w:rsid w:val="00823573"/>
    <w:rsid w:val="00823AD5"/>
    <w:rsid w:val="008563AE"/>
    <w:rsid w:val="008A7D04"/>
    <w:rsid w:val="00951B52"/>
    <w:rsid w:val="009821E9"/>
    <w:rsid w:val="00985406"/>
    <w:rsid w:val="00A05DD7"/>
    <w:rsid w:val="00A15DB4"/>
    <w:rsid w:val="00A16626"/>
    <w:rsid w:val="00A61817"/>
    <w:rsid w:val="00A852B9"/>
    <w:rsid w:val="00AE491C"/>
    <w:rsid w:val="00B204AC"/>
    <w:rsid w:val="00B80A23"/>
    <w:rsid w:val="00B86958"/>
    <w:rsid w:val="00C148B0"/>
    <w:rsid w:val="00CA502F"/>
    <w:rsid w:val="00CA7801"/>
    <w:rsid w:val="00CC693D"/>
    <w:rsid w:val="00CF3D47"/>
    <w:rsid w:val="00D723BE"/>
    <w:rsid w:val="00E350FF"/>
    <w:rsid w:val="00EE309D"/>
    <w:rsid w:val="00F2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AD5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23AD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23AD5"/>
  </w:style>
  <w:style w:type="paragraph" w:styleId="Footer">
    <w:name w:val="footer"/>
    <w:basedOn w:val="Normal"/>
    <w:link w:val="FooterChar"/>
    <w:uiPriority w:val="99"/>
    <w:unhideWhenUsed/>
    <w:rsid w:val="00823AD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23AD5"/>
  </w:style>
  <w:style w:type="paragraph" w:styleId="BalloonText">
    <w:name w:val="Balloon Text"/>
    <w:basedOn w:val="Normal"/>
    <w:link w:val="BalloonTextChar"/>
    <w:uiPriority w:val="99"/>
    <w:semiHidden/>
    <w:unhideWhenUsed/>
    <w:rsid w:val="00823AD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 Vaughn Inc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va_vaughn</dc:creator>
  <cp:lastModifiedBy>va_vaughn</cp:lastModifiedBy>
  <cp:revision>4</cp:revision>
  <cp:lastPrinted>2016-06-13T20:20:00Z</cp:lastPrinted>
  <dcterms:created xsi:type="dcterms:W3CDTF">2018-01-31T02:40:00Z</dcterms:created>
  <dcterms:modified xsi:type="dcterms:W3CDTF">2018-02-05T18:02:00Z</dcterms:modified>
</cp:coreProperties>
</file>