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8595"/>
      </w:tblGrid>
      <w:tr w:rsidR="006A719C" w:rsidRPr="00715FBB" w:rsidTr="006A719C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715FBB" w:rsidP="00EC0A77">
            <w:pPr>
              <w:spacing w:before="0" w:after="60"/>
              <w:rPr>
                <w:b/>
                <w:color w:val="237990"/>
                <w:sz w:val="24"/>
                <w:szCs w:val="24"/>
                <w:lang w:val="fr-FR"/>
              </w:rPr>
            </w:pPr>
            <w:r w:rsidRPr="00715FBB">
              <w:rPr>
                <w:b/>
                <w:color w:val="237990"/>
                <w:sz w:val="24"/>
                <w:szCs w:val="24"/>
                <w:lang w:val="fr-FR"/>
              </w:rPr>
              <w:t>Règles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>Il est interdit de FUMER et de CUISINER dans l’</w:t>
            </w:r>
            <w:r w:rsidR="00715FBB" w:rsidRPr="00715FBB">
              <w:rPr>
                <w:lang w:val="fr-FR"/>
              </w:rPr>
              <w:t>entrepôt</w:t>
            </w:r>
            <w:r w:rsidRPr="00715FBB">
              <w:rPr>
                <w:lang w:val="fr-FR"/>
              </w:rPr>
              <w:t xml:space="preserve"> et aux alentours.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Les </w:t>
            </w:r>
            <w:r w:rsidR="00715FBB" w:rsidRPr="00715FBB">
              <w:rPr>
                <w:lang w:val="fr-FR"/>
              </w:rPr>
              <w:t>matériaux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inflammables</w:t>
            </w:r>
            <w:r w:rsidRPr="00715FBB">
              <w:rPr>
                <w:lang w:val="fr-FR"/>
              </w:rPr>
              <w:t xml:space="preserve"> (</w:t>
            </w:r>
            <w:r w:rsidR="00715FBB" w:rsidRPr="00715FBB">
              <w:rPr>
                <w:lang w:val="fr-FR"/>
              </w:rPr>
              <w:t>tels</w:t>
            </w:r>
            <w:r w:rsidRPr="00715FBB">
              <w:rPr>
                <w:lang w:val="fr-FR"/>
              </w:rPr>
              <w:t xml:space="preserve"> que les </w:t>
            </w:r>
            <w:r w:rsidR="00715FBB" w:rsidRPr="00715FBB">
              <w:rPr>
                <w:lang w:val="fr-FR"/>
              </w:rPr>
              <w:t>fumigènes</w:t>
            </w:r>
            <w:r w:rsidRPr="00715FBB">
              <w:rPr>
                <w:lang w:val="fr-FR"/>
              </w:rPr>
              <w:t xml:space="preserve"> ou le </w:t>
            </w:r>
            <w:r w:rsidR="00715FBB" w:rsidRPr="00715FBB">
              <w:rPr>
                <w:lang w:val="fr-FR"/>
              </w:rPr>
              <w:t>pétrole</w:t>
            </w:r>
            <w:r w:rsidRPr="00715FBB">
              <w:rPr>
                <w:lang w:val="fr-FR"/>
              </w:rPr>
              <w:t xml:space="preserve">) ne doivent jamais </w:t>
            </w:r>
            <w:r w:rsidR="00715FBB" w:rsidRPr="00715FBB">
              <w:rPr>
                <w:lang w:val="fr-FR"/>
              </w:rPr>
              <w:t>être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stockés</w:t>
            </w:r>
            <w:r w:rsidRPr="00715FBB">
              <w:rPr>
                <w:lang w:val="fr-FR"/>
              </w:rPr>
              <w:t xml:space="preserve"> dans le </w:t>
            </w:r>
            <w:r w:rsidR="00715FBB" w:rsidRPr="00715FBB">
              <w:rPr>
                <w:lang w:val="fr-FR"/>
              </w:rPr>
              <w:t>même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entrepôt</w:t>
            </w:r>
            <w:r w:rsidRPr="00715FBB">
              <w:rPr>
                <w:lang w:val="fr-FR"/>
              </w:rPr>
              <w:t xml:space="preserve"> que les vivres</w:t>
            </w:r>
            <w:r w:rsidR="00A20E65">
              <w:rPr>
                <w:lang w:val="fr-FR"/>
              </w:rPr>
              <w:t>.</w:t>
            </w:r>
          </w:p>
        </w:tc>
      </w:tr>
      <w:tr w:rsidR="006A719C" w:rsidRPr="00715FBB" w:rsidTr="006A719C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715FBB" w:rsidP="00EC0A77">
            <w:pPr>
              <w:spacing w:before="240" w:after="60"/>
              <w:rPr>
                <w:b/>
                <w:color w:val="237990"/>
                <w:sz w:val="24"/>
                <w:szCs w:val="24"/>
                <w:lang w:val="fr-FR"/>
              </w:rPr>
            </w:pPr>
            <w:r w:rsidRPr="00715FBB">
              <w:rPr>
                <w:b/>
                <w:color w:val="237990"/>
                <w:sz w:val="24"/>
                <w:szCs w:val="24"/>
                <w:lang w:val="fr-FR"/>
              </w:rPr>
              <w:t>Procédures</w:t>
            </w:r>
            <w:r w:rsidR="00EC0A77" w:rsidRPr="00715FBB">
              <w:rPr>
                <w:b/>
                <w:color w:val="237990"/>
                <w:sz w:val="24"/>
                <w:szCs w:val="24"/>
                <w:lang w:val="fr-FR"/>
              </w:rPr>
              <w:t xml:space="preserve"> </w:t>
            </w:r>
            <w:r w:rsidRPr="00715FBB">
              <w:rPr>
                <w:b/>
                <w:color w:val="237990"/>
                <w:sz w:val="24"/>
                <w:szCs w:val="24"/>
                <w:lang w:val="fr-FR"/>
              </w:rPr>
              <w:t>opérationnelles</w:t>
            </w:r>
            <w:r w:rsidR="00EC0A77" w:rsidRPr="00715FBB">
              <w:rPr>
                <w:b/>
                <w:color w:val="237990"/>
                <w:sz w:val="24"/>
                <w:szCs w:val="24"/>
                <w:lang w:val="fr-FR"/>
              </w:rPr>
              <w:t xml:space="preserve"> standards recommand</w:t>
            </w:r>
            <w:r w:rsidR="00EC0A77" w:rsidRPr="00715FBB">
              <w:rPr>
                <w:rFonts w:ascii="Segoe UI Symbol" w:eastAsiaTheme="minorHAnsi" w:hAnsi="Segoe UI Symbol" w:cs="Segoe UI Symbol"/>
                <w:b/>
                <w:color w:val="237990"/>
                <w:sz w:val="24"/>
                <w:szCs w:val="24"/>
                <w:lang w:val="fr-FR" w:eastAsia="ja-JP"/>
              </w:rPr>
              <w:t>ées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Afficher clairement des signes visibles d’INTERDICTION DE FUMER sur les murs </w:t>
            </w:r>
            <w:r w:rsidR="00715FBB" w:rsidRPr="00715FBB">
              <w:rPr>
                <w:lang w:val="fr-FR"/>
              </w:rPr>
              <w:t>extérieurs</w:t>
            </w:r>
            <w:r w:rsidRPr="00715FBB">
              <w:rPr>
                <w:lang w:val="fr-FR"/>
              </w:rPr>
              <w:t xml:space="preserve"> et </w:t>
            </w:r>
            <w:r w:rsidR="00715FBB" w:rsidRPr="00715FBB">
              <w:rPr>
                <w:lang w:val="fr-FR"/>
              </w:rPr>
              <w:t>intérieurs</w:t>
            </w:r>
            <w:r w:rsidRPr="00715FBB">
              <w:rPr>
                <w:lang w:val="fr-FR"/>
              </w:rPr>
              <w:t xml:space="preserve"> de l’</w:t>
            </w:r>
            <w:r w:rsidR="00715FBB" w:rsidRPr="00715FBB">
              <w:rPr>
                <w:lang w:val="fr-FR"/>
              </w:rPr>
              <w:t>entrepôt</w:t>
            </w:r>
            <w:r w:rsidR="006A719C" w:rsidRPr="00715FBB">
              <w:rPr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966FC4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>Install</w:t>
            </w:r>
            <w:r w:rsidR="00EC0A77" w:rsidRPr="00715FBB">
              <w:rPr>
                <w:lang w:val="fr-FR"/>
              </w:rPr>
              <w:t xml:space="preserve">er les </w:t>
            </w:r>
            <w:r w:rsidR="00715FBB" w:rsidRPr="00715FBB">
              <w:rPr>
                <w:lang w:val="fr-FR"/>
              </w:rPr>
              <w:t>détecteurs</w:t>
            </w:r>
            <w:r w:rsidR="00EC0A77" w:rsidRPr="00715FBB">
              <w:rPr>
                <w:lang w:val="fr-FR"/>
              </w:rPr>
              <w:t xml:space="preserve"> de </w:t>
            </w:r>
            <w:r w:rsidR="00715FBB" w:rsidRPr="00715FBB">
              <w:rPr>
                <w:lang w:val="fr-FR"/>
              </w:rPr>
              <w:t>fumée</w:t>
            </w:r>
            <w:r w:rsidR="00EC0A77" w:rsidRPr="00715FBB">
              <w:rPr>
                <w:lang w:val="fr-FR"/>
              </w:rPr>
              <w:t xml:space="preserve">/alarmes dans chaque </w:t>
            </w:r>
            <w:r w:rsidR="00715FBB" w:rsidRPr="00715FBB">
              <w:rPr>
                <w:lang w:val="fr-FR"/>
              </w:rPr>
              <w:t>entrepôt</w:t>
            </w:r>
            <w:r w:rsidR="006A719C" w:rsidRPr="00715FBB">
              <w:rPr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Assigner des </w:t>
            </w:r>
            <w:r w:rsidR="00715FBB" w:rsidRPr="00715FBB">
              <w:rPr>
                <w:lang w:val="fr-FR"/>
              </w:rPr>
              <w:t>responsabilités</w:t>
            </w:r>
            <w:r w:rsidRPr="00715FBB">
              <w:rPr>
                <w:lang w:val="fr-FR"/>
              </w:rPr>
              <w:t xml:space="preserve"> et mettre en place des </w:t>
            </w:r>
            <w:r w:rsidR="00715FBB" w:rsidRPr="00715FBB">
              <w:rPr>
                <w:lang w:val="fr-FR"/>
              </w:rPr>
              <w:t>procédés</w:t>
            </w:r>
            <w:r w:rsidRPr="00715FBB">
              <w:rPr>
                <w:lang w:val="fr-FR"/>
              </w:rPr>
              <w:t xml:space="preserve"> d’</w:t>
            </w:r>
            <w:r w:rsidR="00715FBB" w:rsidRPr="00715FBB">
              <w:rPr>
                <w:lang w:val="fr-FR"/>
              </w:rPr>
              <w:t>exécution</w:t>
            </w:r>
            <w:r w:rsidRPr="00715FBB">
              <w:rPr>
                <w:lang w:val="fr-FR"/>
              </w:rPr>
              <w:t xml:space="preserve"> afin que chaque </w:t>
            </w:r>
            <w:r w:rsidR="00715FBB" w:rsidRPr="00715FBB">
              <w:rPr>
                <w:lang w:val="fr-FR"/>
              </w:rPr>
              <w:t>employé</w:t>
            </w:r>
            <w:r w:rsidRPr="00715FBB">
              <w:rPr>
                <w:lang w:val="fr-FR"/>
              </w:rPr>
              <w:t xml:space="preserve"> sache quoi faire en cas d’incendie</w:t>
            </w:r>
            <w:r w:rsidR="006A719C" w:rsidRPr="00715FBB">
              <w:rPr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Mettre </w:t>
            </w:r>
            <w:r w:rsidR="00715FBB">
              <w:rPr>
                <w:lang w:val="fr-FR"/>
              </w:rPr>
              <w:t>en place des plans et voies</w:t>
            </w:r>
            <w:r w:rsidRPr="00715FBB">
              <w:rPr>
                <w:lang w:val="fr-FR"/>
              </w:rPr>
              <w:t xml:space="preserve"> d’</w:t>
            </w:r>
            <w:r w:rsidR="00715FBB">
              <w:rPr>
                <w:lang w:val="fr-FR"/>
              </w:rPr>
              <w:t>évac</w:t>
            </w:r>
            <w:r w:rsidR="00715FBB" w:rsidRPr="00715FBB">
              <w:rPr>
                <w:lang w:val="fr-FR"/>
              </w:rPr>
              <w:t>uation</w:t>
            </w:r>
            <w:r w:rsidRPr="00715FBB">
              <w:rPr>
                <w:lang w:val="fr-FR"/>
              </w:rPr>
              <w:t xml:space="preserve"> pour les situations d’urgence</w:t>
            </w:r>
            <w:r w:rsidR="006A719C" w:rsidRPr="00715FBB">
              <w:rPr>
                <w:lang w:val="fr-FR"/>
              </w:rPr>
              <w:t>.</w:t>
            </w:r>
          </w:p>
        </w:tc>
      </w:tr>
      <w:tr w:rsidR="00830518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30518" w:rsidRPr="00715FBB" w:rsidRDefault="00830518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18" w:rsidRPr="00715FBB" w:rsidRDefault="00EC0A77" w:rsidP="00715FBB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>Indiquer clairement la ou les voies d’</w:t>
            </w:r>
            <w:r w:rsidR="00715FBB" w:rsidRPr="00715FBB">
              <w:rPr>
                <w:lang w:val="fr-FR"/>
              </w:rPr>
              <w:t>évacuation</w:t>
            </w:r>
            <w:r w:rsidRPr="00715FBB">
              <w:rPr>
                <w:lang w:val="fr-FR"/>
              </w:rPr>
              <w:t xml:space="preserve"> </w:t>
            </w:r>
            <w:r w:rsidR="00715FBB">
              <w:rPr>
                <w:lang w:val="fr-FR"/>
              </w:rPr>
              <w:t>à l’aide d’</w:t>
            </w:r>
            <w:r w:rsidRPr="00715FBB">
              <w:rPr>
                <w:lang w:val="fr-FR"/>
              </w:rPr>
              <w:t>enseignes</w:t>
            </w:r>
            <w:r w:rsidR="00830518" w:rsidRPr="00715FBB">
              <w:rPr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Mettre les </w:t>
            </w:r>
            <w:r w:rsidR="00715FBB" w:rsidRPr="00715FBB">
              <w:rPr>
                <w:lang w:val="fr-FR"/>
              </w:rPr>
              <w:t>extincteurs</w:t>
            </w:r>
            <w:r w:rsidRPr="00715FBB">
              <w:rPr>
                <w:lang w:val="fr-FR"/>
              </w:rPr>
              <w:t>, seaux de sable/d’eau, des pelles, et (si une source d’eau est disponible) des tuyaux à disposition à l’</w:t>
            </w:r>
            <w:r w:rsidR="00715FBB" w:rsidRPr="00715FBB">
              <w:rPr>
                <w:lang w:val="fr-FR"/>
              </w:rPr>
              <w:t>intérieur</w:t>
            </w:r>
            <w:r w:rsidRPr="00715FBB">
              <w:rPr>
                <w:lang w:val="fr-FR"/>
              </w:rPr>
              <w:t xml:space="preserve"> comme à l’</w:t>
            </w:r>
            <w:r w:rsidR="00715FBB" w:rsidRPr="00715FBB">
              <w:rPr>
                <w:lang w:val="fr-FR"/>
              </w:rPr>
              <w:t>extérieur</w:t>
            </w:r>
            <w:r w:rsidRPr="00715FBB">
              <w:rPr>
                <w:lang w:val="fr-FR"/>
              </w:rPr>
              <w:t xml:space="preserve"> de l’</w:t>
            </w:r>
            <w:r w:rsidR="00715FBB" w:rsidRPr="00715FBB">
              <w:rPr>
                <w:lang w:val="fr-FR"/>
              </w:rPr>
              <w:t>entrepôt</w:t>
            </w:r>
            <w:r w:rsidR="006A719C" w:rsidRPr="00715FBB">
              <w:rPr>
                <w:lang w:val="fr-FR"/>
              </w:rPr>
              <w:t xml:space="preserve">.  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>Former le personnel de l’</w:t>
            </w:r>
            <w:r w:rsidR="00715FBB" w:rsidRPr="00715FBB">
              <w:rPr>
                <w:lang w:val="fr-FR"/>
              </w:rPr>
              <w:t>entrepôt</w:t>
            </w:r>
            <w:r w:rsidRPr="00715FBB">
              <w:rPr>
                <w:lang w:val="fr-FR"/>
              </w:rPr>
              <w:t xml:space="preserve"> au mode d’utilisation des extincteurs.</w:t>
            </w:r>
          </w:p>
        </w:tc>
      </w:tr>
      <w:tr w:rsidR="006A719C" w:rsidRPr="00715FBB" w:rsidTr="006A719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A20E65" w:rsidRDefault="00EC0A77" w:rsidP="00966FC4">
            <w:pPr>
              <w:spacing w:after="0"/>
              <w:rPr>
                <w:b/>
                <w:lang w:val="fr-FR"/>
              </w:rPr>
            </w:pPr>
            <w:r w:rsidRPr="00715FBB">
              <w:rPr>
                <w:lang w:val="fr-FR"/>
              </w:rPr>
              <w:t xml:space="preserve">Inspecter </w:t>
            </w:r>
            <w:r w:rsidR="00715FBB" w:rsidRPr="00715FBB">
              <w:rPr>
                <w:lang w:val="fr-FR"/>
              </w:rPr>
              <w:t>régulièrement</w:t>
            </w:r>
            <w:r w:rsidRPr="00715FBB">
              <w:rPr>
                <w:lang w:val="fr-FR"/>
              </w:rPr>
              <w:t xml:space="preserve"> les extincteurs d’incendie et recharger au besoin (ou au moins une fois par an). Les </w:t>
            </w:r>
            <w:r w:rsidR="00715FBB" w:rsidRPr="00715FBB">
              <w:rPr>
                <w:lang w:val="fr-FR"/>
              </w:rPr>
              <w:t>étiquettes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placées</w:t>
            </w:r>
            <w:r w:rsidRPr="00715FBB">
              <w:rPr>
                <w:lang w:val="fr-FR"/>
              </w:rPr>
              <w:t xml:space="preserve"> sur chaque extincteur doi</w:t>
            </w:r>
            <w:r w:rsidR="00715FBB">
              <w:rPr>
                <w:lang w:val="fr-FR"/>
              </w:rPr>
              <w:t>ven</w:t>
            </w:r>
            <w:r w:rsidRPr="00715FBB">
              <w:rPr>
                <w:lang w:val="fr-FR"/>
              </w:rPr>
              <w:t xml:space="preserve">t </w:t>
            </w:r>
            <w:r w:rsidR="00715FBB" w:rsidRPr="00715FBB">
              <w:rPr>
                <w:lang w:val="fr-FR"/>
              </w:rPr>
              <w:t>indiquer</w:t>
            </w:r>
            <w:r w:rsidR="00715FBB">
              <w:rPr>
                <w:lang w:val="fr-FR"/>
              </w:rPr>
              <w:t xml:space="preserve"> les</w:t>
            </w:r>
            <w:r w:rsidRPr="00715FBB">
              <w:rPr>
                <w:lang w:val="fr-FR"/>
              </w:rPr>
              <w:t xml:space="preserve"> date</w:t>
            </w:r>
            <w:r w:rsidR="00715FBB">
              <w:rPr>
                <w:lang w:val="fr-FR"/>
              </w:rPr>
              <w:t>s</w:t>
            </w:r>
            <w:r w:rsidRPr="00715FBB">
              <w:rPr>
                <w:lang w:val="fr-FR"/>
              </w:rPr>
              <w:t xml:space="preserve"> d’</w:t>
            </w:r>
            <w:r w:rsidR="00715FBB">
              <w:rPr>
                <w:lang w:val="fr-FR"/>
              </w:rPr>
              <w:t>expiration et de</w:t>
            </w:r>
            <w:r w:rsidRPr="00715FBB">
              <w:rPr>
                <w:lang w:val="fr-FR"/>
              </w:rPr>
              <w:t xml:space="preserve"> prochain service d’entretien. </w:t>
            </w:r>
            <w:r w:rsidRPr="00715FBB">
              <w:rPr>
                <w:b/>
                <w:lang w:val="fr-FR"/>
              </w:rPr>
              <w:t xml:space="preserve">Remarque : veillez </w:t>
            </w:r>
            <w:r w:rsidR="00715FBB">
              <w:rPr>
                <w:b/>
                <w:lang w:val="fr-FR"/>
              </w:rPr>
              <w:t>recueillir</w:t>
            </w:r>
            <w:r w:rsidRPr="00715FBB">
              <w:rPr>
                <w:b/>
                <w:lang w:val="fr-FR"/>
              </w:rPr>
              <w:t xml:space="preserve"> l’avis de fournisseurs avant l’achat d’extincteurs pour leurs recommandations selon le type d’</w:t>
            </w:r>
            <w:r w:rsidR="00715FBB" w:rsidRPr="00715FBB">
              <w:rPr>
                <w:b/>
                <w:lang w:val="fr-FR"/>
              </w:rPr>
              <w:t>entrepôt</w:t>
            </w:r>
            <w:r w:rsidRPr="00715FBB">
              <w:rPr>
                <w:b/>
                <w:lang w:val="fr-FR"/>
              </w:rPr>
              <w:t xml:space="preserve"> utilisé</w:t>
            </w:r>
            <w:r w:rsidR="00A20E65">
              <w:rPr>
                <w:b/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Mettre les fournitures de premiers secours à </w:t>
            </w:r>
            <w:r w:rsidR="00715FBB" w:rsidRPr="00715FBB">
              <w:rPr>
                <w:lang w:val="fr-FR"/>
              </w:rPr>
              <w:t>disponibilité</w:t>
            </w:r>
            <w:r w:rsidRPr="00715FBB">
              <w:rPr>
                <w:lang w:val="fr-FR"/>
              </w:rPr>
              <w:t xml:space="preserve"> et veiller à ce qu</w:t>
            </w:r>
            <w:r w:rsidR="00715FBB">
              <w:rPr>
                <w:lang w:val="fr-FR"/>
              </w:rPr>
              <w:t>e leur stock soi</w:t>
            </w:r>
            <w:r w:rsidRPr="00715FBB">
              <w:rPr>
                <w:lang w:val="fr-FR"/>
              </w:rPr>
              <w:t xml:space="preserve">t </w:t>
            </w:r>
            <w:r w:rsidR="00715FBB">
              <w:rPr>
                <w:lang w:val="fr-FR"/>
              </w:rPr>
              <w:t>renouvelé</w:t>
            </w:r>
            <w:bookmarkStart w:id="0" w:name="_GoBack"/>
            <w:bookmarkEnd w:id="0"/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régulièrement</w:t>
            </w:r>
            <w:r w:rsidR="006A719C" w:rsidRPr="00715FBB">
              <w:rPr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>Former le personnel à l’</w:t>
            </w:r>
            <w:r w:rsidR="00715FBB" w:rsidRPr="00715FBB">
              <w:rPr>
                <w:lang w:val="fr-FR"/>
              </w:rPr>
              <w:t>utilisation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des fournitures</w:t>
            </w:r>
            <w:r w:rsidRPr="00715FBB">
              <w:rPr>
                <w:lang w:val="fr-FR"/>
              </w:rPr>
              <w:t xml:space="preserve"> et du </w:t>
            </w:r>
            <w:r w:rsidR="00715FBB" w:rsidRPr="00715FBB">
              <w:rPr>
                <w:lang w:val="fr-FR"/>
              </w:rPr>
              <w:t>matériel</w:t>
            </w:r>
            <w:r w:rsidRPr="00715FBB">
              <w:rPr>
                <w:lang w:val="fr-FR"/>
              </w:rPr>
              <w:t xml:space="preserve"> de secours.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Signaler </w:t>
            </w:r>
            <w:r w:rsidR="00715FBB" w:rsidRPr="00715FBB">
              <w:rPr>
                <w:lang w:val="fr-FR"/>
              </w:rPr>
              <w:t>immédiatement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tout</w:t>
            </w:r>
            <w:r w:rsidRPr="00715FBB">
              <w:rPr>
                <w:lang w:val="fr-FR"/>
              </w:rPr>
              <w:t xml:space="preserve"> incendie au personnel de gestion</w:t>
            </w:r>
            <w:r w:rsidR="00966FC4" w:rsidRPr="00715FBB">
              <w:rPr>
                <w:lang w:val="fr-FR"/>
              </w:rPr>
              <w:t>.</w:t>
            </w:r>
          </w:p>
        </w:tc>
      </w:tr>
      <w:tr w:rsidR="006A719C" w:rsidRPr="00715FBB" w:rsidTr="00EF087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A719C" w:rsidRPr="00715FBB" w:rsidRDefault="006A719C" w:rsidP="00EF0878">
            <w:pPr>
              <w:spacing w:after="40"/>
              <w:rPr>
                <w:sz w:val="28"/>
                <w:szCs w:val="28"/>
                <w:lang w:val="fr-FR"/>
              </w:rPr>
            </w:pPr>
            <w:r w:rsidRPr="00715FBB">
              <w:rPr>
                <w:sz w:val="28"/>
                <w:szCs w:val="28"/>
                <w:lang w:val="fr-FR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9C" w:rsidRPr="00715FBB" w:rsidRDefault="00EC0A77" w:rsidP="00EC0A77">
            <w:pPr>
              <w:spacing w:before="0" w:after="0"/>
              <w:rPr>
                <w:lang w:val="fr-FR"/>
              </w:rPr>
            </w:pPr>
            <w:r w:rsidRPr="00715FBB">
              <w:rPr>
                <w:lang w:val="fr-FR"/>
              </w:rPr>
              <w:t xml:space="preserve">Communiquer à tout le personnel de </w:t>
            </w:r>
            <w:r w:rsidR="00715FBB" w:rsidRPr="00715FBB">
              <w:rPr>
                <w:lang w:val="fr-FR"/>
              </w:rPr>
              <w:t>l’entrepôt</w:t>
            </w:r>
            <w:r w:rsidRPr="00715FBB">
              <w:rPr>
                <w:lang w:val="fr-FR"/>
              </w:rPr>
              <w:t xml:space="preserve"> les </w:t>
            </w:r>
            <w:r w:rsidR="00715FBB" w:rsidRPr="00715FBB">
              <w:rPr>
                <w:lang w:val="fr-FR"/>
              </w:rPr>
              <w:t>numéros</w:t>
            </w:r>
            <w:r w:rsidRPr="00715FBB">
              <w:rPr>
                <w:lang w:val="fr-FR"/>
              </w:rPr>
              <w:t xml:space="preserve"> de </w:t>
            </w:r>
            <w:r w:rsidR="00715FBB" w:rsidRPr="00715FBB">
              <w:rPr>
                <w:lang w:val="fr-FR"/>
              </w:rPr>
              <w:t>téléphone</w:t>
            </w:r>
            <w:r w:rsidRPr="00715FBB">
              <w:rPr>
                <w:lang w:val="fr-FR"/>
              </w:rPr>
              <w:t xml:space="preserve"> des pompiers (le cas </w:t>
            </w:r>
            <w:r w:rsidR="00715FBB" w:rsidRPr="00715FBB">
              <w:rPr>
                <w:lang w:val="fr-FR"/>
              </w:rPr>
              <w:t>échéant</w:t>
            </w:r>
            <w:r w:rsidRPr="00715FBB">
              <w:rPr>
                <w:lang w:val="fr-FR"/>
              </w:rPr>
              <w:t xml:space="preserve">), du </w:t>
            </w:r>
            <w:r w:rsidR="00715FBB" w:rsidRPr="00715FBB">
              <w:rPr>
                <w:lang w:val="fr-FR"/>
              </w:rPr>
              <w:t>personnel</w:t>
            </w:r>
            <w:r w:rsidRPr="00715FBB">
              <w:rPr>
                <w:lang w:val="fr-FR"/>
              </w:rPr>
              <w:t xml:space="preserve"> </w:t>
            </w:r>
            <w:r w:rsidR="00715FBB" w:rsidRPr="00715FBB">
              <w:rPr>
                <w:lang w:val="fr-FR"/>
              </w:rPr>
              <w:t>clé</w:t>
            </w:r>
            <w:r w:rsidRPr="00715FBB">
              <w:rPr>
                <w:lang w:val="fr-FR"/>
              </w:rPr>
              <w:t xml:space="preserve"> et </w:t>
            </w:r>
            <w:r w:rsidR="00715FBB" w:rsidRPr="00715FBB">
              <w:rPr>
                <w:lang w:val="fr-FR"/>
              </w:rPr>
              <w:t>des représentants</w:t>
            </w:r>
            <w:r w:rsidRPr="00715FBB">
              <w:rPr>
                <w:lang w:val="fr-FR"/>
              </w:rPr>
              <w:t xml:space="preserve"> du gouvernement </w:t>
            </w:r>
            <w:r w:rsidR="00715FBB" w:rsidRPr="00715FBB">
              <w:rPr>
                <w:lang w:val="fr-FR"/>
              </w:rPr>
              <w:t>compétents</w:t>
            </w:r>
            <w:r w:rsidRPr="00715FBB">
              <w:rPr>
                <w:lang w:val="fr-FR"/>
              </w:rPr>
              <w:t xml:space="preserve">. </w:t>
            </w:r>
          </w:p>
        </w:tc>
      </w:tr>
    </w:tbl>
    <w:p w:rsidR="00B72C22" w:rsidRPr="00715FBB" w:rsidRDefault="00B72C22" w:rsidP="006A719C">
      <w:pPr>
        <w:pStyle w:val="NormalWeb"/>
        <w:tabs>
          <w:tab w:val="left" w:pos="360"/>
          <w:tab w:val="left" w:pos="1140"/>
        </w:tabs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5042"/>
      </w:tblGrid>
      <w:tr w:rsidR="003F3876" w:rsidRPr="00715FBB" w:rsidTr="00864CDD">
        <w:trPr>
          <w:trHeight w:val="1728"/>
          <w:jc w:val="center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BCC589"/>
            <w:vAlign w:val="center"/>
          </w:tcPr>
          <w:p w:rsidR="003F3876" w:rsidRPr="00715FBB" w:rsidRDefault="00EC0A77" w:rsidP="00EC0A77">
            <w:pPr>
              <w:pStyle w:val="NormalWeb"/>
              <w:tabs>
                <w:tab w:val="left" w:pos="360"/>
                <w:tab w:val="left" w:pos="114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</w:pPr>
            <w:r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 xml:space="preserve">Pour une discussion </w:t>
            </w:r>
            <w:r w:rsidR="00715FBB"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détaillée</w:t>
            </w:r>
            <w:r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 xml:space="preserve"> sur la </w:t>
            </w:r>
            <w:r w:rsidR="00715FBB"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prévention</w:t>
            </w:r>
            <w:r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 xml:space="preserve"> des incendies et l’utilisation des extincteurs, se </w:t>
            </w:r>
            <w:r w:rsidR="00715FBB"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référer</w:t>
            </w:r>
            <w:r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 xml:space="preserve"> au document suivant: </w:t>
            </w:r>
            <w:r w:rsidR="003F3876"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 xml:space="preserve"> </w:t>
            </w:r>
          </w:p>
          <w:p w:rsidR="003F3876" w:rsidRPr="00715FBB" w:rsidRDefault="003F3876" w:rsidP="003F3876">
            <w:pPr>
              <w:pStyle w:val="NormalWeb"/>
              <w:tabs>
                <w:tab w:val="left" w:pos="360"/>
                <w:tab w:val="left" w:pos="1140"/>
              </w:tabs>
              <w:spacing w:before="120" w:beforeAutospacing="0" w:after="120" w:afterAutospacing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715FB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val="fr-FR"/>
              </w:rPr>
              <w:t>Chapter 4 of the</w:t>
            </w:r>
            <w:r w:rsidRPr="00715F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Warehouse Staff Safety Guide</w:t>
            </w:r>
            <w:r w:rsidR="00EC0A77" w:rsidRPr="00715F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(chapitre 4 du guide de sécurité du personnel d’entrepôt)</w:t>
            </w:r>
          </w:p>
          <w:p w:rsidR="003F3876" w:rsidRPr="00715FBB" w:rsidRDefault="005655B8" w:rsidP="003F3876">
            <w:pPr>
              <w:pStyle w:val="NormalWeb"/>
              <w:tabs>
                <w:tab w:val="left" w:pos="360"/>
                <w:tab w:val="left" w:pos="1140"/>
              </w:tabs>
              <w:spacing w:before="120" w:beforeAutospacing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hyperlink r:id="rId6" w:history="1">
              <w:r w:rsidR="003F3876" w:rsidRPr="00715FBB">
                <w:rPr>
                  <w:rStyle w:val="Hyperlink"/>
                  <w:rFonts w:asciiTheme="minorHAnsi" w:hAnsiTheme="minorHAnsi" w:cs="Arial"/>
                  <w:sz w:val="20"/>
                  <w:szCs w:val="20"/>
                  <w:lang w:val="fr-FR"/>
                </w:rPr>
                <w:t>www.fsnnetwork.org/warehouse-staff-safety-guide</w:t>
              </w:r>
            </w:hyperlink>
            <w:r w:rsidR="00864CDD" w:rsidRPr="00715FBB">
              <w:rPr>
                <w:rStyle w:val="Hyperlink"/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="003F3876" w:rsidRPr="00715FB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9D1106" w:rsidRPr="00715FBB" w:rsidRDefault="009D1106" w:rsidP="00B72C22">
      <w:pPr>
        <w:rPr>
          <w:b/>
          <w:sz w:val="20"/>
          <w:szCs w:val="20"/>
          <w:lang w:val="fr-FR"/>
        </w:rPr>
      </w:pPr>
    </w:p>
    <w:sectPr w:rsidR="009D1106" w:rsidRPr="00715FBB" w:rsidSect="006A719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D9" w:rsidRDefault="00D22CD9" w:rsidP="006A719C">
      <w:pPr>
        <w:spacing w:before="0" w:after="0"/>
      </w:pPr>
      <w:r>
        <w:separator/>
      </w:r>
    </w:p>
  </w:endnote>
  <w:endnote w:type="continuationSeparator" w:id="0">
    <w:p w:rsidR="00D22CD9" w:rsidRDefault="00D22CD9" w:rsidP="006A71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7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A719C" w:rsidRPr="001D1FE4" w:rsidRDefault="006A719C" w:rsidP="006A719C">
            <w:pPr>
              <w:pStyle w:val="Footer"/>
              <w:jc w:val="center"/>
            </w:pPr>
            <w:r w:rsidRPr="001D1FE4">
              <w:t xml:space="preserve">Page </w:t>
            </w:r>
            <w:r w:rsidR="005655B8" w:rsidRPr="001D1FE4">
              <w:fldChar w:fldCharType="begin"/>
            </w:r>
            <w:r w:rsidRPr="001D1FE4">
              <w:instrText xml:space="preserve"> PAGE </w:instrText>
            </w:r>
            <w:r w:rsidR="005655B8" w:rsidRPr="001D1FE4">
              <w:fldChar w:fldCharType="separate"/>
            </w:r>
            <w:r w:rsidR="00A20E65">
              <w:rPr>
                <w:noProof/>
              </w:rPr>
              <w:t>1</w:t>
            </w:r>
            <w:r w:rsidR="005655B8" w:rsidRPr="001D1FE4">
              <w:fldChar w:fldCharType="end"/>
            </w:r>
            <w:r w:rsidR="00A20E65">
              <w:t xml:space="preserve"> </w:t>
            </w:r>
            <w:r w:rsidR="00EC0A77">
              <w:t>/</w:t>
            </w:r>
            <w:r w:rsidRPr="001D1FE4">
              <w:t xml:space="preserve"> </w:t>
            </w:r>
            <w:r w:rsidR="005655B8" w:rsidRPr="001D1FE4">
              <w:fldChar w:fldCharType="begin"/>
            </w:r>
            <w:r w:rsidRPr="001D1FE4">
              <w:instrText xml:space="preserve"> NUMPAGES  </w:instrText>
            </w:r>
            <w:r w:rsidR="005655B8" w:rsidRPr="001D1FE4">
              <w:fldChar w:fldCharType="separate"/>
            </w:r>
            <w:r w:rsidR="00A20E65">
              <w:rPr>
                <w:noProof/>
              </w:rPr>
              <w:t>1</w:t>
            </w:r>
            <w:r w:rsidR="005655B8" w:rsidRPr="001D1FE4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D9" w:rsidRDefault="00D22CD9" w:rsidP="006A719C">
      <w:pPr>
        <w:spacing w:before="0" w:after="0"/>
      </w:pPr>
      <w:r>
        <w:separator/>
      </w:r>
    </w:p>
  </w:footnote>
  <w:footnote w:type="continuationSeparator" w:id="0">
    <w:p w:rsidR="00D22CD9" w:rsidRDefault="00D22CD9" w:rsidP="006A71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9C" w:rsidRPr="00EC0A77" w:rsidRDefault="00A20E65" w:rsidP="006A719C">
    <w:pPr>
      <w:pStyle w:val="Header"/>
      <w:jc w:val="center"/>
      <w:rPr>
        <w:lang w:val="fr-FR"/>
      </w:rPr>
    </w:pPr>
    <w:r w:rsidRPr="00A20E65">
      <w:rPr>
        <w:b/>
        <w:color w:val="237990"/>
        <w:sz w:val="28"/>
        <w:szCs w:val="28"/>
        <w:lang w:val="fr-FR"/>
      </w:rPr>
      <w:t>LISTE DE CONTRÔLE</w:t>
    </w:r>
    <w:r w:rsidR="00EC0A77">
      <w:rPr>
        <w:b/>
        <w:color w:val="237990"/>
        <w:sz w:val="28"/>
        <w:szCs w:val="28"/>
        <w:lang w:val="fr-FR"/>
      </w:rPr>
      <w:t xml:space="preserve"> </w:t>
    </w:r>
    <w:r w:rsidR="00EC0A77" w:rsidRPr="00EC0A77">
      <w:rPr>
        <w:b/>
        <w:color w:val="237990"/>
        <w:sz w:val="28"/>
        <w:szCs w:val="28"/>
        <w:lang w:val="fr-FR"/>
      </w:rPr>
      <w:t>pour la prévention des incendies d'entrepôt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429E"/>
    <w:rsid w:val="00026341"/>
    <w:rsid w:val="00061DFE"/>
    <w:rsid w:val="000B75D5"/>
    <w:rsid w:val="00116C2B"/>
    <w:rsid w:val="00165D64"/>
    <w:rsid w:val="001D1FE4"/>
    <w:rsid w:val="002243F3"/>
    <w:rsid w:val="002305AD"/>
    <w:rsid w:val="00230F56"/>
    <w:rsid w:val="00232E55"/>
    <w:rsid w:val="00247BEA"/>
    <w:rsid w:val="002E0D1A"/>
    <w:rsid w:val="00304F7F"/>
    <w:rsid w:val="00341B54"/>
    <w:rsid w:val="003659EE"/>
    <w:rsid w:val="00371343"/>
    <w:rsid w:val="003B5FD3"/>
    <w:rsid w:val="003F3876"/>
    <w:rsid w:val="003F71EA"/>
    <w:rsid w:val="00404A18"/>
    <w:rsid w:val="00407BBC"/>
    <w:rsid w:val="004C3AB2"/>
    <w:rsid w:val="004E103B"/>
    <w:rsid w:val="005060CD"/>
    <w:rsid w:val="005655B8"/>
    <w:rsid w:val="0056715C"/>
    <w:rsid w:val="005B721B"/>
    <w:rsid w:val="005E1188"/>
    <w:rsid w:val="006A719C"/>
    <w:rsid w:val="00715FBB"/>
    <w:rsid w:val="00780DFA"/>
    <w:rsid w:val="00830518"/>
    <w:rsid w:val="0084123C"/>
    <w:rsid w:val="00857203"/>
    <w:rsid w:val="00864CDD"/>
    <w:rsid w:val="008E6860"/>
    <w:rsid w:val="00906AC7"/>
    <w:rsid w:val="00966FC4"/>
    <w:rsid w:val="0097429E"/>
    <w:rsid w:val="009D1106"/>
    <w:rsid w:val="00A16626"/>
    <w:rsid w:val="00A20E65"/>
    <w:rsid w:val="00A61817"/>
    <w:rsid w:val="00A901EA"/>
    <w:rsid w:val="00B14B8C"/>
    <w:rsid w:val="00B72C22"/>
    <w:rsid w:val="00B9246A"/>
    <w:rsid w:val="00C502E6"/>
    <w:rsid w:val="00C573C5"/>
    <w:rsid w:val="00CA502F"/>
    <w:rsid w:val="00CC693D"/>
    <w:rsid w:val="00D22CD9"/>
    <w:rsid w:val="00D2326F"/>
    <w:rsid w:val="00D30C15"/>
    <w:rsid w:val="00D63590"/>
    <w:rsid w:val="00DF1131"/>
    <w:rsid w:val="00E70949"/>
    <w:rsid w:val="00E819C9"/>
    <w:rsid w:val="00EA19C8"/>
    <w:rsid w:val="00EC0A77"/>
    <w:rsid w:val="00EF0878"/>
    <w:rsid w:val="00F4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9C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71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19C"/>
  </w:style>
  <w:style w:type="paragraph" w:styleId="Footer">
    <w:name w:val="footer"/>
    <w:basedOn w:val="Normal"/>
    <w:link w:val="FooterChar"/>
    <w:uiPriority w:val="99"/>
    <w:unhideWhenUsed/>
    <w:rsid w:val="006A71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719C"/>
  </w:style>
  <w:style w:type="paragraph" w:styleId="BalloonText">
    <w:name w:val="Balloon Text"/>
    <w:basedOn w:val="Normal"/>
    <w:link w:val="BalloonTextChar"/>
    <w:uiPriority w:val="99"/>
    <w:semiHidden/>
    <w:unhideWhenUsed/>
    <w:rsid w:val="006A7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A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C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nnetwork.org/warehouse-staff-safety-gui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4</cp:revision>
  <cp:lastPrinted>2015-10-10T16:26:00Z</cp:lastPrinted>
  <dcterms:created xsi:type="dcterms:W3CDTF">2018-01-25T21:14:00Z</dcterms:created>
  <dcterms:modified xsi:type="dcterms:W3CDTF">2018-02-05T20:49:00Z</dcterms:modified>
</cp:coreProperties>
</file>