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CA" w:rsidRDefault="004622FF">
      <w:pPr>
        <w:pStyle w:val="BodyA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Toward More Resilient Agriculture</w:t>
      </w:r>
    </w:p>
    <w:p w:rsidR="005D73CA" w:rsidRDefault="004622FF">
      <w:pPr>
        <w:pStyle w:val="BodyA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Resilience Design in Smallholder Farming Systems Approach</w:t>
      </w:r>
    </w:p>
    <w:p w:rsidR="005D73CA" w:rsidRDefault="004622FF">
      <w:pPr>
        <w:pStyle w:val="BodyA"/>
        <w:jc w:val="center"/>
        <w:rPr>
          <w:b/>
          <w:bCs/>
          <w:lang w:val="en-US"/>
        </w:rPr>
      </w:pPr>
      <w:r>
        <w:rPr>
          <w:lang w:val="en-US"/>
        </w:rPr>
        <w:t xml:space="preserve">Prepared by </w:t>
      </w:r>
      <w:r>
        <w:rPr>
          <w:b/>
          <w:bCs/>
          <w:lang w:val="en-US"/>
        </w:rPr>
        <w:t xml:space="preserve">Sandrine </w:t>
      </w:r>
      <w:proofErr w:type="spellStart"/>
      <w:r>
        <w:rPr>
          <w:b/>
          <w:bCs/>
          <w:lang w:val="en-US"/>
        </w:rPr>
        <w:t>Chetail</w:t>
      </w:r>
      <w:proofErr w:type="spellEnd"/>
      <w:r>
        <w:rPr>
          <w:b/>
          <w:bCs/>
          <w:lang w:val="en-US"/>
        </w:rPr>
        <w:t xml:space="preserve"> &amp; Eric Carlberg</w:t>
      </w:r>
      <w:r>
        <w:rPr>
          <w:lang w:val="en-US"/>
        </w:rPr>
        <w:t xml:space="preserve">/ </w:t>
      </w:r>
      <w:r>
        <w:rPr>
          <w:b/>
          <w:bCs/>
          <w:lang w:val="en-US"/>
        </w:rPr>
        <w:t>Mercy Corps</w:t>
      </w:r>
    </w:p>
    <w:p w:rsidR="005D73CA" w:rsidRDefault="004622FF">
      <w:pPr>
        <w:pStyle w:val="BodyA"/>
        <w:jc w:val="center"/>
        <w:rPr>
          <w:lang w:val="en-US"/>
        </w:rPr>
      </w:pPr>
      <w:r>
        <w:rPr>
          <w:lang w:val="en-US"/>
        </w:rPr>
        <w:t xml:space="preserve">Draft of </w:t>
      </w:r>
      <w:r>
        <w:rPr>
          <w:b/>
          <w:bCs/>
          <w:lang w:val="en-US"/>
        </w:rPr>
        <w:t>3 May 2017</w:t>
      </w:r>
    </w:p>
    <w:p w:rsidR="005D73CA" w:rsidRDefault="005D73CA">
      <w:pPr>
        <w:pStyle w:val="BodyA"/>
      </w:pPr>
    </w:p>
    <w:p w:rsidR="005D73CA" w:rsidRDefault="005D73CA">
      <w:pPr>
        <w:pStyle w:val="BodyA"/>
        <w:widowControl w:val="0"/>
        <w:ind w:left="108" w:hanging="108"/>
      </w:pPr>
    </w:p>
    <w:tbl>
      <w:tblPr>
        <w:tblW w:w="864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17"/>
        <w:gridCol w:w="4037"/>
        <w:gridCol w:w="3906"/>
        <w:gridCol w:w="180"/>
      </w:tblGrid>
      <w:tr w:rsidR="005D73CA">
        <w:trPr>
          <w:trHeight w:val="320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  <w:jc w:val="center"/>
            </w:pPr>
            <w:r>
              <w:rPr>
                <w:b/>
                <w:bCs/>
                <w:lang w:val="en-US"/>
              </w:rPr>
              <w:t>AUDIO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  <w:jc w:val="center"/>
            </w:pPr>
            <w:r>
              <w:rPr>
                <w:b/>
                <w:bCs/>
                <w:lang w:val="en-US"/>
              </w:rPr>
              <w:t>VIDEO</w:t>
            </w:r>
          </w:p>
        </w:tc>
      </w:tr>
      <w:tr w:rsidR="005D73CA">
        <w:tblPrEx>
          <w:shd w:val="clear" w:color="auto" w:fill="CED7E7"/>
        </w:tblPrEx>
        <w:trPr>
          <w:trHeight w:val="6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i/>
                <w:iCs/>
                <w:lang w:val="en-US"/>
              </w:rPr>
              <w:t>[Insert description of VO or audio el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  <w:lang w:val="en-US"/>
              </w:rPr>
              <w:t>ments.]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i/>
                <w:iCs/>
                <w:lang w:val="en-US"/>
              </w:rPr>
              <w:t xml:space="preserve">[Insert </w:t>
            </w:r>
            <w:r>
              <w:rPr>
                <w:i/>
                <w:iCs/>
                <w:lang w:val="en-US"/>
              </w:rPr>
              <w:t>description of visual style]</w:t>
            </w:r>
          </w:p>
        </w:tc>
      </w:tr>
      <w:tr w:rsidR="005D73CA">
        <w:tblPrEx>
          <w:shd w:val="clear" w:color="auto" w:fill="CED7E7"/>
        </w:tblPrEx>
        <w:trPr>
          <w:trHeight w:val="1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Opening Title</w:t>
            </w:r>
          </w:p>
          <w:p w:rsidR="005D73CA" w:rsidRDefault="004622FF">
            <w:pPr>
              <w:pStyle w:val="Body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 1. Climate is changing, leading to rain variability and unpredictabi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ity, long dry periods, and flooding.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rPr>
                <w:rFonts w:ascii="Cambria" w:eastAsia="Cambria" w:hAnsi="Cambria" w:cs="Cambria"/>
              </w:rPr>
              <w:t>Titles: Climate is changing, list of symptoms over photos of enviro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</w:rPr>
              <w:t xml:space="preserve">mental context. </w:t>
            </w:r>
          </w:p>
        </w:tc>
      </w:tr>
      <w:tr w:rsidR="005D73CA">
        <w:tblPrEx>
          <w:shd w:val="clear" w:color="auto" w:fill="CED7E7"/>
        </w:tblPrEx>
        <w:trPr>
          <w:trHeight w:val="1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2. All around the</w:t>
            </w:r>
            <w:r>
              <w:rPr>
                <w:lang w:val="en-US"/>
              </w:rPr>
              <w:t xml:space="preserve"> world, forests are being cut down and hills are beco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ing bare--leading to massive soil er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sion, loss of soil nutrients, and dow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stream flooding.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proofErr w:type="gramStart"/>
            <w:r>
              <w:rPr>
                <w:rFonts w:ascii="Cambria" w:eastAsia="Cambria" w:hAnsi="Cambria" w:cs="Cambria"/>
              </w:rPr>
              <w:t>photos</w:t>
            </w:r>
            <w:proofErr w:type="gramEnd"/>
            <w:r>
              <w:rPr>
                <w:rFonts w:ascii="Cambria" w:eastAsia="Cambria" w:hAnsi="Cambria" w:cs="Cambria"/>
              </w:rPr>
              <w:t xml:space="preserve"> of farms/farmers in trouble. </w:t>
            </w:r>
          </w:p>
        </w:tc>
      </w:tr>
      <w:tr w:rsidR="005D73CA">
        <w:tblPrEx>
          <w:shd w:val="clear" w:color="auto" w:fill="CED7E7"/>
        </w:tblPrEx>
        <w:trPr>
          <w:trHeight w:val="12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. All of these pressures affect agr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cultural producers, especially smal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 xml:space="preserve">holder farmers who already farm in difficult contexts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rPr>
                <w:rFonts w:ascii="Cambria" w:eastAsia="Cambria" w:hAnsi="Cambria" w:cs="Cambria"/>
              </w:rPr>
              <w:t>photo focusing on single smallholder farmer</w:t>
            </w:r>
          </w:p>
        </w:tc>
      </w:tr>
      <w:tr w:rsidR="005D73CA">
        <w:tblPrEx>
          <w:shd w:val="clear" w:color="auto" w:fill="CED7E7"/>
        </w:tblPrEx>
        <w:trPr>
          <w:trHeight w:val="15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. To help smallholder farmers a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 xml:space="preserve">sorb and recover from these shocks and stresses, </w:t>
            </w:r>
            <w:r>
              <w:rPr>
                <w:lang w:val="en-US"/>
              </w:rPr>
              <w:t>through The TOPS 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gram Mercy Corps developed a new approach.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Title of approach – Resilience Design in Smallholder Farming Systems Along with a diagram that becomes the diagram to represent Resilience Design. Perhaps of a designed farm?</w:t>
            </w:r>
          </w:p>
        </w:tc>
      </w:tr>
      <w:tr w:rsidR="005D73CA">
        <w:tblPrEx>
          <w:shd w:val="clear" w:color="auto" w:fill="CED7E7"/>
        </w:tblPrEx>
        <w:trPr>
          <w:trHeight w:val="21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 xml:space="preserve">5. The </w:t>
            </w:r>
            <w:r>
              <w:rPr>
                <w:lang w:val="en-US"/>
              </w:rPr>
              <w:t>Resilience Design in Smal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holder Farming Systems Approach helps small farmers develop systems that support soil health and water management to improve resilience to climate variability and environmental pressures.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rPr>
                <w:rFonts w:ascii="Cambria" w:eastAsia="Cambria" w:hAnsi="Cambria" w:cs="Cambria"/>
              </w:rPr>
              <w:t>introduce icons of smallholder farmer, soi</w:t>
            </w:r>
            <w:r>
              <w:rPr>
                <w:rFonts w:ascii="Cambria" w:eastAsia="Cambria" w:hAnsi="Cambria" w:cs="Cambria"/>
              </w:rPr>
              <w:t>l health, water tools, cl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</w:rPr>
              <w:t>mate/environmental actors</w:t>
            </w:r>
          </w:p>
        </w:tc>
      </w:tr>
      <w:tr w:rsidR="005D73CA">
        <w:tblPrEx>
          <w:shd w:val="clear" w:color="auto" w:fill="CED7E7"/>
        </w:tblPrEx>
        <w:trPr>
          <w:trHeight w:val="30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 xml:space="preserve">6. The approach has 5 aims: - </w:t>
            </w:r>
          </w:p>
          <w:p w:rsidR="005D73CA" w:rsidRDefault="004622FF">
            <w:pPr>
              <w:pStyle w:val="Body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A. Enhancing natural 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sources and ecosystem se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vices</w:t>
            </w:r>
          </w:p>
          <w:p w:rsidR="005D73CA" w:rsidRDefault="004622FF">
            <w:pPr>
              <w:pStyle w:val="Body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B. Increasing energy efficiency</w:t>
            </w:r>
          </w:p>
          <w:p w:rsidR="005D73CA" w:rsidRDefault="004622FF">
            <w:pPr>
              <w:pStyle w:val="Body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C. Increasing economic income</w:t>
            </w:r>
          </w:p>
          <w:p w:rsidR="005D73CA" w:rsidRDefault="004622FF">
            <w:pPr>
              <w:pStyle w:val="Body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D. Contributing to increased nutritional status</w:t>
            </w:r>
          </w:p>
          <w:p w:rsidR="005D73CA" w:rsidRDefault="004622FF">
            <w:pPr>
              <w:pStyle w:val="Body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E. </w:t>
            </w:r>
            <w:r>
              <w:rPr>
                <w:lang w:val="en-US"/>
              </w:rPr>
              <w:t>Strengthening the skillset, capacity and confidence of smallholder farmers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commentReference w:id="1"/>
            </w:r>
            <w:r>
              <w:t>5 aims—diagram with pictorials of each aim. Economic, Ecological, Energy, N</w:t>
            </w:r>
            <w:r>
              <w:t>u</w:t>
            </w:r>
            <w:r>
              <w:t>trition and Social.</w:t>
            </w:r>
          </w:p>
        </w:tc>
      </w:tr>
      <w:tr w:rsidR="005D73CA">
        <w:tblPrEx>
          <w:shd w:val="clear" w:color="auto" w:fill="CED7E7"/>
        </w:tblPrEx>
        <w:trPr>
          <w:trHeight w:val="30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CommentText"/>
            </w:pPr>
            <w:r>
              <w:rPr>
                <w:rFonts w:ascii="Cambria" w:eastAsia="Cambria" w:hAnsi="Cambria" w:cs="Cambria"/>
              </w:rPr>
              <w:t xml:space="preserve"> 7.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This approach builds on other technical approaches such as conse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vation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agriculture, and incorporates design principles from agroecology and permaculture. It is a dynamic 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erative process that requires farmers to look at their farm system within the broader agroecosystem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rPr>
                <w:rFonts w:ascii="Cambria" w:eastAsia="Cambria" w:hAnsi="Cambria" w:cs="Cambria"/>
              </w:rPr>
              <w:t>Start with smallholder icon, on small simple farm, zoom</w:t>
            </w:r>
            <w:r>
              <w:rPr>
                <w:rFonts w:ascii="Cambria" w:eastAsia="Cambria" w:hAnsi="Cambria" w:cs="Cambria"/>
              </w:rPr>
              <w:t xml:space="preserve"> out to show how farm is in a network/system of other farms, industries, resources,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</w:p>
        </w:tc>
      </w:tr>
      <w:tr w:rsidR="005D73CA">
        <w:tblPrEx>
          <w:shd w:val="clear" w:color="auto" w:fill="CED7E7"/>
        </w:tblPrEx>
        <w:trPr>
          <w:trHeight w:val="18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. Through the Resilience Design in Smallholder Farming Systems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proach, farmers observe and analyze local resources and influences that affect their site</w:t>
            </w:r>
            <w:proofErr w:type="gramStart"/>
            <w:r>
              <w:rPr>
                <w:lang w:val="en-US"/>
              </w:rPr>
              <w:t>,  and</w:t>
            </w:r>
            <w:proofErr w:type="gramEnd"/>
            <w:r>
              <w:rPr>
                <w:lang w:val="en-US"/>
              </w:rPr>
              <w:t xml:space="preserve"> then plan and design their farm system accordingly.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Show the overall RD 4-step process diagram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</w:tr>
      <w:tr w:rsidR="005D73CA">
        <w:tblPrEx>
          <w:shd w:val="clear" w:color="auto" w:fill="CED7E7"/>
        </w:tblPrEx>
        <w:trPr>
          <w:trHeight w:val="15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9.</w:t>
            </w:r>
            <w:r>
              <w:rPr>
                <w:lang w:val="en-US"/>
              </w:rPr>
              <w:t xml:space="preserve"> Constant learning, analyzing, and redesigning allows for adjustments as external influences – like sun, water flow, wind, and man-made influences - change over time.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Highlight arrow indicating feedback loop in process</w:t>
            </w:r>
          </w:p>
        </w:tc>
      </w:tr>
      <w:tr w:rsidR="005D73CA">
        <w:tblPrEx>
          <w:shd w:val="clear" w:color="auto" w:fill="CED7E7"/>
        </w:tblPrEx>
        <w:trPr>
          <w:trHeight w:val="6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10. The approach follows a</w:t>
            </w:r>
            <w:r>
              <w:rPr>
                <w:lang w:val="en-US"/>
              </w:rPr>
              <w:t xml:space="preserve"> 4 step process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</w:tr>
      <w:tr w:rsidR="005D73CA">
        <w:tblPrEx>
          <w:shd w:val="clear" w:color="auto" w:fill="CED7E7"/>
        </w:tblPrEx>
        <w:trPr>
          <w:trHeight w:val="21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11. The first step is to assess the site. Together with farmers and the co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munity, we collect information and map the available resources and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fluences that affect the site.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Step 1- Highlight step one in process. Diagram then shrinks to</w:t>
            </w:r>
            <w:r>
              <w:rPr>
                <w:lang w:val="en-US"/>
              </w:rPr>
              <w:t xml:space="preserve"> the side or corner of screen. Other pictures show:</w:t>
            </w:r>
          </w:p>
          <w:p w:rsidR="005D73CA" w:rsidRDefault="004622FF">
            <w:pPr>
              <w:pStyle w:val="BodyA"/>
            </w:pPr>
            <w:r>
              <w:rPr>
                <w:lang w:val="en-US"/>
              </w:rPr>
              <w:t>Ex of resources – old bricks, chicken manure, trees, etc.</w:t>
            </w:r>
          </w:p>
          <w:p w:rsidR="005D73CA" w:rsidRDefault="004622FF">
            <w:pPr>
              <w:pStyle w:val="BodyA"/>
            </w:pPr>
            <w:r>
              <w:rPr>
                <w:lang w:val="en-US"/>
              </w:rPr>
              <w:t>Ex of influence – sun/shade, wind/storms, water flow</w:t>
            </w:r>
          </w:p>
        </w:tc>
      </w:tr>
      <w:tr w:rsidR="005D73CA">
        <w:tblPrEx>
          <w:shd w:val="clear" w:color="auto" w:fill="CED7E7"/>
        </w:tblPrEx>
        <w:trPr>
          <w:trHeight w:val="18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 xml:space="preserve">12. Next, we help farmers analyze the information collected from the site assessment, </w:t>
            </w:r>
            <w:r>
              <w:rPr>
                <w:lang w:val="en-US"/>
              </w:rPr>
              <w:t>focusing on, for example, the resources available, the energy needed to tend the crops, the location of each crop, or again the slope.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Highlight Step 2 in corner- small pi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 xml:space="preserve">torials depicting each analysis topic  </w:t>
            </w:r>
          </w:p>
        </w:tc>
      </w:tr>
      <w:tr w:rsidR="005D73CA">
        <w:tblPrEx>
          <w:shd w:val="clear" w:color="auto" w:fill="CED7E7"/>
        </w:tblPrEx>
        <w:trPr>
          <w:trHeight w:val="1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13. Next, farmers and the community design</w:t>
            </w:r>
            <w:r>
              <w:rPr>
                <w:lang w:val="en-US"/>
              </w:rPr>
              <w:t xml:space="preserve"> their site through the applic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tion of ten principles.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Highlight Step 3</w:t>
            </w:r>
          </w:p>
          <w:p w:rsidR="005D73CA" w:rsidRDefault="005D73CA">
            <w:pPr>
              <w:pStyle w:val="BodyA"/>
              <w:rPr>
                <w:lang w:val="en-US"/>
              </w:rPr>
            </w:pPr>
          </w:p>
          <w:p w:rsidR="005D73CA" w:rsidRDefault="004622FF">
            <w:pPr>
              <w:pStyle w:val="BodyA"/>
            </w:pPr>
            <w:r>
              <w:rPr>
                <w:lang w:val="en-US"/>
              </w:rPr>
              <w:t>Example of principles come up one after the other</w:t>
            </w:r>
          </w:p>
        </w:tc>
      </w:tr>
      <w:tr w:rsidR="005D73CA">
        <w:tblPrEx>
          <w:shd w:val="clear" w:color="auto" w:fill="CED7E7"/>
        </w:tblPrEx>
        <w:trPr>
          <w:trHeight w:val="18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14. The site will be designed to 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sure maximum benefits – </w:t>
            </w:r>
            <w:r>
              <w:rPr>
                <w:lang w:val="en-US"/>
              </w:rPr>
              <w:t xml:space="preserve">for example by determining the best placement of crops and livestock, and strategically integrate soil and water techniques into the site.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Pictorial of many agriculture tec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niques betting ‘placed’ into a map showing a design. For example, crops, kraal, mo</w:t>
            </w:r>
            <w:r>
              <w:rPr>
                <w:lang w:val="en-US"/>
              </w:rPr>
              <w:t>ving water, garden, house, trees, etc.</w:t>
            </w:r>
          </w:p>
        </w:tc>
      </w:tr>
      <w:tr w:rsidR="005D73CA">
        <w:tblPrEx>
          <w:shd w:val="clear" w:color="auto" w:fill="CED7E7"/>
        </w:tblPrEx>
        <w:trPr>
          <w:trHeight w:val="12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15. And then… farmers will observe throughout the rainy season to see how their water harvesting stru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tures hold the water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Highlight Step 4</w:t>
            </w:r>
            <w:r>
              <w:t xml:space="preserve"> </w:t>
            </w:r>
          </w:p>
        </w:tc>
      </w:tr>
      <w:tr w:rsidR="005D73CA">
        <w:tblPrEx>
          <w:shd w:val="clear" w:color="auto" w:fill="CED7E7"/>
        </w:tblPrEx>
        <w:trPr>
          <w:trHeight w:val="9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CommentText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farmers will observe the summer sun or the wind to see if the trees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tect their crops…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farm progressed through seasons, show changes in light, weather, n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ture</w:t>
            </w:r>
          </w:p>
        </w:tc>
      </w:tr>
      <w:tr w:rsidR="005D73CA">
        <w:tblPrEx>
          <w:shd w:val="clear" w:color="auto" w:fill="CED7E7"/>
        </w:tblPrEx>
        <w:trPr>
          <w:trHeight w:val="1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</w:pPr>
            <w:r>
              <w:rPr>
                <w:lang w:val="en-US"/>
              </w:rPr>
              <w:t>17</w:t>
            </w:r>
            <w:r>
              <w:rPr>
                <w:lang w:val="en-US"/>
              </w:rPr>
              <w:t>. This process of observing, lear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ing, and adjusting is </w:t>
            </w:r>
            <w:proofErr w:type="gramStart"/>
            <w:r>
              <w:rPr>
                <w:lang w:val="en-US"/>
              </w:rPr>
              <w:t>key</w:t>
            </w:r>
            <w:proofErr w:type="gramEnd"/>
            <w:r>
              <w:rPr>
                <w:lang w:val="en-US"/>
              </w:rPr>
              <w:t xml:space="preserve"> to the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proach. Farmers must be able to int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grate changes they observe and co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tinually improve </w:t>
            </w:r>
            <w:r>
              <w:rPr>
                <w:lang w:val="en-US"/>
              </w:rPr>
              <w:t>their design.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proofErr w:type="gramStart"/>
            <w:r>
              <w:rPr>
                <w:rFonts w:ascii="Cambria" w:eastAsia="Cambria" w:hAnsi="Cambria" w:cs="Cambria"/>
              </w:rPr>
              <w:t>magnifying</w:t>
            </w:r>
            <w:proofErr w:type="gramEnd"/>
            <w:r>
              <w:rPr>
                <w:rFonts w:ascii="Cambria" w:eastAsia="Cambria" w:hAnsi="Cambria" w:cs="Cambria"/>
              </w:rPr>
              <w:t xml:space="preserve"> glass appears over di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</w:rPr>
              <w:t>gram to show observation, and then transition back to a basic plan from the beginning of the section.</w:t>
            </w:r>
          </w:p>
        </w:tc>
      </w:tr>
      <w:tr w:rsidR="005D73CA">
        <w:tblPrEx>
          <w:shd w:val="clear" w:color="auto" w:fill="CED7E7"/>
        </w:tblPrEx>
        <w:trPr>
          <w:trHeight w:val="20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  <w:spacing w:after="200" w:line="276" w:lineRule="auto"/>
            </w:pPr>
            <w:r>
              <w:rPr>
                <w:lang w:val="en-US"/>
              </w:rPr>
              <w:t>18</w:t>
            </w:r>
            <w:r>
              <w:rPr>
                <w:lang w:val="en-US"/>
              </w:rPr>
              <w:t>. Because the approach focuses on understanding a site within its local context, and not a prescribed set of techniques, it can be used at different scales – gardens, fields, communities or landscape.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t xml:space="preserve">Diagram of a </w:t>
            </w:r>
            <w:proofErr w:type="spellStart"/>
            <w:r>
              <w:t>permagarden</w:t>
            </w:r>
            <w:proofErr w:type="spellEnd"/>
            <w:r>
              <w:t>? Or just a photo?</w:t>
            </w:r>
          </w:p>
          <w:p w:rsidR="005D73CA" w:rsidRDefault="005D73CA">
            <w:pPr>
              <w:pStyle w:val="BodyB"/>
            </w:pPr>
          </w:p>
          <w:p w:rsidR="005D73CA" w:rsidRDefault="004622FF">
            <w:pPr>
              <w:pStyle w:val="BodyB"/>
            </w:pPr>
            <w:r>
              <w:t xml:space="preserve">Diagram of </w:t>
            </w:r>
            <w:r>
              <w:t>the arrow moving from ga</w:t>
            </w:r>
            <w:r>
              <w:t>r</w:t>
            </w:r>
            <w:r>
              <w:t>den, to field to community to watershed</w:t>
            </w:r>
          </w:p>
        </w:tc>
      </w:tr>
      <w:tr w:rsidR="005D73CA">
        <w:tblPrEx>
          <w:shd w:val="clear" w:color="auto" w:fill="CED7E7"/>
        </w:tblPrEx>
        <w:trPr>
          <w:trHeight w:val="13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  <w:spacing w:after="200" w:line="276" w:lineRule="auto"/>
            </w:pPr>
            <w:r>
              <w:rPr>
                <w:lang w:val="en-US"/>
              </w:rPr>
              <w:t xml:space="preserve">19. Bringing a community together to better manage its shared resources will help each farm system become more productive and resilient.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t>Camera moves out - Ex of village being designed…</w:t>
            </w:r>
            <w:r>
              <w:t xml:space="preserve">with water flow control measures along the roads, trees being planted around the borehole, etc. </w:t>
            </w:r>
          </w:p>
        </w:tc>
      </w:tr>
      <w:tr w:rsidR="005D73CA">
        <w:tblPrEx>
          <w:shd w:val="clear" w:color="auto" w:fill="CED7E7"/>
        </w:tblPrEx>
        <w:trPr>
          <w:trHeight w:val="13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A"/>
              <w:spacing w:after="200" w:line="276" w:lineRule="auto"/>
            </w:pPr>
            <w:r>
              <w:commentReference w:id="2"/>
            </w:r>
            <w:r>
              <w:rPr>
                <w:lang w:val="en-US"/>
              </w:rPr>
              <w:t>20. Through a more thorough farm design, smallholder farmers, men and women, become more resilient to 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vironmental shocks and stresses.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4622FF">
            <w:pPr>
              <w:pStyle w:val="BodyB"/>
            </w:pPr>
            <w:r>
              <w:t xml:space="preserve">Same graphics as </w:t>
            </w:r>
            <w:r>
              <w:t>resilience video and 4 resilience questions</w:t>
            </w:r>
          </w:p>
        </w:tc>
      </w:tr>
      <w:tr w:rsidR="005D73CA">
        <w:tblPrEx>
          <w:shd w:val="clear" w:color="auto" w:fill="CED7E7"/>
        </w:tblPrEx>
        <w:trPr>
          <w:trHeight w:val="66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</w:tr>
      <w:tr w:rsidR="005D73CA">
        <w:tblPrEx>
          <w:shd w:val="clear" w:color="auto" w:fill="CED7E7"/>
        </w:tblPrEx>
        <w:trPr>
          <w:trHeight w:val="13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73CA" w:rsidRDefault="005D73CA"/>
        </w:tc>
      </w:tr>
    </w:tbl>
    <w:p w:rsidR="005D73CA" w:rsidRDefault="005D73CA">
      <w:pPr>
        <w:pStyle w:val="BodyA"/>
        <w:widowControl w:val="0"/>
        <w:ind w:left="216" w:hanging="216"/>
      </w:pPr>
    </w:p>
    <w:p w:rsidR="005D73CA" w:rsidRDefault="005D73CA">
      <w:pPr>
        <w:pStyle w:val="BodyA"/>
        <w:widowControl w:val="0"/>
        <w:ind w:left="108" w:hanging="108"/>
      </w:pPr>
    </w:p>
    <w:p w:rsidR="005D73CA" w:rsidRDefault="005D73CA">
      <w:pPr>
        <w:pStyle w:val="BodyA"/>
        <w:widowControl w:val="0"/>
        <w:rPr>
          <w:lang w:val="en-US"/>
        </w:rPr>
      </w:pPr>
    </w:p>
    <w:p w:rsidR="005D73CA" w:rsidRDefault="005D73CA">
      <w:pPr>
        <w:pStyle w:val="BodyA"/>
        <w:rPr>
          <w:lang w:val="en-US"/>
        </w:rPr>
      </w:pPr>
    </w:p>
    <w:p w:rsidR="005D73CA" w:rsidRDefault="004622FF">
      <w:pPr>
        <w:pStyle w:val="BodyA"/>
      </w:pPr>
      <w:r>
        <w:rPr>
          <w:lang w:val="da-DK"/>
        </w:rPr>
        <w:t>Timed at:_________ (medium pace)</w:t>
      </w:r>
    </w:p>
    <w:sectPr w:rsidR="005D73C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a" w:date="2017-05-24T13:58:00Z" w:initials="">
    <w:p w:rsidR="005D73CA" w:rsidRDefault="005D73CA">
      <w:pPr>
        <w:pStyle w:val="Default"/>
      </w:pPr>
    </w:p>
    <w:p w:rsidR="005D73CA" w:rsidRDefault="004622FF">
      <w:pPr>
        <w:pStyle w:val="Default"/>
      </w:pPr>
      <w:r>
        <w:rPr>
          <w:rFonts w:eastAsia="Arial Unicode MS" w:cs="Arial Unicode MS"/>
        </w:rPr>
        <w:t>Can we somehow capture some of this info in a diagram?</w:t>
      </w:r>
    </w:p>
    <w:p w:rsidR="005D73CA" w:rsidRDefault="005D73CA">
      <w:pPr>
        <w:pStyle w:val="Default"/>
      </w:pPr>
    </w:p>
    <w:p w:rsidR="005D73CA" w:rsidRDefault="004622FF">
      <w:pPr>
        <w:pStyle w:val="Default"/>
      </w:pPr>
      <w:r>
        <w:rPr>
          <w:rFonts w:eastAsia="Arial Unicode MS" w:cs="Arial Unicode MS"/>
        </w:rPr>
        <w:t xml:space="preserve">Ecological - enhance natural resources and ecosystem services through: 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improving</w:t>
      </w:r>
      <w:proofErr w:type="gramEnd"/>
      <w:r>
        <w:rPr>
          <w:rFonts w:eastAsia="Arial Unicode MS" w:cs="Arial Unicode MS"/>
        </w:rPr>
        <w:t xml:space="preserve"> soil and water health,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increasing</w:t>
      </w:r>
      <w:proofErr w:type="gramEnd"/>
      <w:r>
        <w:rPr>
          <w:rFonts w:eastAsia="Arial Unicode MS" w:cs="Arial Unicode MS"/>
        </w:rPr>
        <w:t xml:space="preserve"> biodiversity, and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reducing</w:t>
      </w:r>
      <w:proofErr w:type="gramEnd"/>
      <w:r>
        <w:rPr>
          <w:rFonts w:eastAsia="Arial Unicode MS" w:cs="Arial Unicode MS"/>
        </w:rPr>
        <w:t xml:space="preserve"> erosion.</w:t>
      </w:r>
    </w:p>
    <w:p w:rsidR="005D73CA" w:rsidRDefault="004622FF">
      <w:pPr>
        <w:pStyle w:val="Default"/>
      </w:pPr>
      <w:r>
        <w:rPr>
          <w:rFonts w:eastAsia="Arial Unicode MS" w:cs="Arial Unicode MS"/>
        </w:rPr>
        <w:t>Energy - increase energy efficiency through: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better</w:t>
      </w:r>
      <w:proofErr w:type="gramEnd"/>
      <w:r>
        <w:rPr>
          <w:rFonts w:eastAsia="Arial Unicode MS" w:cs="Arial Unicode MS"/>
        </w:rPr>
        <w:t xml:space="preserve"> farm design that works with external i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fluences to </w:t>
      </w:r>
      <w:r>
        <w:rPr>
          <w:rFonts w:eastAsia="Arial Unicode MS" w:cs="Arial Unicode MS"/>
        </w:rPr>
        <w:t>maximize the efficiencies of an int</w:t>
      </w:r>
      <w:r>
        <w:rPr>
          <w:rFonts w:eastAsia="Arial Unicode MS" w:cs="Arial Unicode MS"/>
        </w:rPr>
        <w:t>e</w:t>
      </w:r>
      <w:r>
        <w:rPr>
          <w:rFonts w:eastAsia="Arial Unicode MS" w:cs="Arial Unicode MS"/>
        </w:rPr>
        <w:t>grated system and reduce time and energy expended tending crops and animals.</w:t>
      </w:r>
    </w:p>
    <w:p w:rsidR="005D73CA" w:rsidRDefault="004622FF">
      <w:pPr>
        <w:pStyle w:val="Default"/>
      </w:pPr>
      <w:r>
        <w:rPr>
          <w:rFonts w:eastAsia="Arial Unicode MS" w:cs="Arial Unicode MS"/>
        </w:rPr>
        <w:t>Economic - increase economic income by: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reducing</w:t>
      </w:r>
      <w:proofErr w:type="gramEnd"/>
      <w:r>
        <w:rPr>
          <w:rFonts w:eastAsia="Arial Unicode MS" w:cs="Arial Unicode MS"/>
        </w:rPr>
        <w:t xml:space="preserve"> input cost, and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diversifying</w:t>
      </w:r>
      <w:proofErr w:type="gramEnd"/>
      <w:r>
        <w:rPr>
          <w:rFonts w:eastAsia="Arial Unicode MS" w:cs="Arial Unicode MS"/>
        </w:rPr>
        <w:t xml:space="preserve"> and intensifying production.</w:t>
      </w:r>
    </w:p>
    <w:p w:rsidR="005D73CA" w:rsidRDefault="004622FF">
      <w:pPr>
        <w:pStyle w:val="Default"/>
      </w:pPr>
      <w:r>
        <w:rPr>
          <w:rFonts w:eastAsia="Arial Unicode MS" w:cs="Arial Unicode MS"/>
        </w:rPr>
        <w:t>Nutritional - contribute to increase</w:t>
      </w:r>
      <w:r>
        <w:rPr>
          <w:rFonts w:eastAsia="Arial Unicode MS" w:cs="Arial Unicode MS"/>
        </w:rPr>
        <w:t>d nutritional status by: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increasing</w:t>
      </w:r>
      <w:proofErr w:type="gramEnd"/>
      <w:r>
        <w:rPr>
          <w:rFonts w:eastAsia="Arial Unicode MS" w:cs="Arial Unicode MS"/>
        </w:rPr>
        <w:t xml:space="preserve"> soil biology, 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increasing</w:t>
      </w:r>
      <w:proofErr w:type="gramEnd"/>
      <w:r>
        <w:rPr>
          <w:rFonts w:eastAsia="Arial Unicode MS" w:cs="Arial Unicode MS"/>
        </w:rPr>
        <w:t xml:space="preserve"> access to a diverse diet, and 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improving</w:t>
      </w:r>
      <w:proofErr w:type="gramEnd"/>
      <w:r>
        <w:rPr>
          <w:rFonts w:eastAsia="Arial Unicode MS" w:cs="Arial Unicode MS"/>
        </w:rPr>
        <w:t xml:space="preserve"> critical nutrient uptake from the diet.</w:t>
      </w:r>
    </w:p>
    <w:p w:rsidR="005D73CA" w:rsidRDefault="004622FF">
      <w:pPr>
        <w:pStyle w:val="Default"/>
      </w:pPr>
      <w:r>
        <w:rPr>
          <w:rFonts w:eastAsia="Arial Unicode MS" w:cs="Arial Unicode MS"/>
        </w:rPr>
        <w:t>Social - strengthen the skillset, capacity, and confidence of smallholder farmers, and relatio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ships between comm</w:t>
      </w:r>
      <w:r>
        <w:rPr>
          <w:rFonts w:eastAsia="Arial Unicode MS" w:cs="Arial Unicode MS"/>
        </w:rPr>
        <w:t>unity and watershed actors by: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supporting</w:t>
      </w:r>
      <w:proofErr w:type="gramEnd"/>
      <w:r>
        <w:rPr>
          <w:rFonts w:eastAsia="Arial Unicode MS" w:cs="Arial Unicode MS"/>
        </w:rPr>
        <w:t xml:space="preserve"> local innovative farmers to become leaders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helping</w:t>
      </w:r>
      <w:proofErr w:type="gramEnd"/>
      <w:r>
        <w:rPr>
          <w:rFonts w:eastAsia="Arial Unicode MS" w:cs="Arial Unicode MS"/>
        </w:rPr>
        <w:t xml:space="preserve"> them learn to observe and understand their local environment and its interconnecte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ness,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enabling</w:t>
      </w:r>
      <w:proofErr w:type="gramEnd"/>
      <w:r>
        <w:rPr>
          <w:rFonts w:eastAsia="Arial Unicode MS" w:cs="Arial Unicode MS"/>
        </w:rPr>
        <w:t xml:space="preserve"> them to understand how to maximize local resources and utilize na</w:t>
      </w:r>
      <w:r>
        <w:rPr>
          <w:rFonts w:eastAsia="Arial Unicode MS" w:cs="Arial Unicode MS"/>
        </w:rPr>
        <w:t>tural influences, and</w:t>
      </w:r>
    </w:p>
    <w:p w:rsidR="005D73CA" w:rsidRDefault="004622FF">
      <w:pPr>
        <w:pStyle w:val="Default"/>
      </w:pPr>
      <w:proofErr w:type="gramStart"/>
      <w:r>
        <w:rPr>
          <w:rFonts w:eastAsia="Arial Unicode MS" w:cs="Arial Unicode MS"/>
        </w:rPr>
        <w:t>improving</w:t>
      </w:r>
      <w:proofErr w:type="gramEnd"/>
      <w:r>
        <w:rPr>
          <w:rFonts w:eastAsia="Arial Unicode MS" w:cs="Arial Unicode MS"/>
        </w:rPr>
        <w:t xml:space="preserve"> their ability to adapt and test techno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ogies,</w:t>
      </w:r>
    </w:p>
  </w:comment>
  <w:comment w:id="2" w:author="Andrea" w:date="2017-05-24T13:44:00Z" w:initials="">
    <w:p w:rsidR="005D73CA" w:rsidRDefault="005D73CA">
      <w:pPr>
        <w:pStyle w:val="Default"/>
      </w:pPr>
    </w:p>
    <w:p w:rsidR="005D73CA" w:rsidRDefault="004622FF">
      <w:pPr>
        <w:pStyle w:val="Default"/>
      </w:pPr>
      <w:r>
        <w:rPr>
          <w:rFonts w:eastAsia="Arial Unicode MS" w:cs="Arial Unicode MS"/>
        </w:rPr>
        <w:t>Seems a bit oddly placed here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FF" w:rsidRDefault="004622FF">
      <w:r>
        <w:separator/>
      </w:r>
    </w:p>
  </w:endnote>
  <w:endnote w:type="continuationSeparator" w:id="0">
    <w:p w:rsidR="004622FF" w:rsidRDefault="0046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CA" w:rsidRDefault="005D73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FF" w:rsidRDefault="004622FF">
      <w:r>
        <w:separator/>
      </w:r>
    </w:p>
  </w:footnote>
  <w:footnote w:type="continuationSeparator" w:id="0">
    <w:p w:rsidR="004622FF" w:rsidRDefault="0046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CA" w:rsidRDefault="005D73C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66"/>
    <w:multiLevelType w:val="hybridMultilevel"/>
    <w:tmpl w:val="93CA56F8"/>
    <w:lvl w:ilvl="0" w:tplc="C8EE005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A89A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89D3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A801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E836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877B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E8C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38723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86FC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171631"/>
    <w:multiLevelType w:val="hybridMultilevel"/>
    <w:tmpl w:val="09402190"/>
    <w:lvl w:ilvl="0" w:tplc="169CC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EF40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F4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33C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051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67CE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AB83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72B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245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73CA"/>
    <w:rsid w:val="004622FF"/>
    <w:rsid w:val="005D73CA"/>
    <w:rsid w:val="007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CommentText">
    <w:name w:val="annotation text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CommentText">
    <w:name w:val="annotation text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Todela</dc:creator>
  <cp:lastModifiedBy>Adrienne Todela</cp:lastModifiedBy>
  <cp:revision>2</cp:revision>
  <dcterms:created xsi:type="dcterms:W3CDTF">2017-11-29T19:36:00Z</dcterms:created>
  <dcterms:modified xsi:type="dcterms:W3CDTF">2017-11-29T19:36:00Z</dcterms:modified>
</cp:coreProperties>
</file>