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16" w:rsidRPr="00636DEE" w:rsidRDefault="00523626" w:rsidP="00082BE5">
      <w:pPr>
        <w:rPr>
          <w:b/>
          <w:i/>
          <w:sz w:val="18"/>
          <w:szCs w:val="18"/>
        </w:rPr>
      </w:pPr>
      <w:bookmarkStart w:id="0" w:name="_Toc265732694"/>
      <w:r w:rsidRPr="00636DEE">
        <w:rPr>
          <w:i/>
          <w:sz w:val="18"/>
          <w:szCs w:val="18"/>
        </w:rPr>
        <w:t>If a</w:t>
      </w:r>
      <w:r w:rsidR="00ED3470">
        <w:rPr>
          <w:i/>
          <w:sz w:val="18"/>
          <w:szCs w:val="18"/>
        </w:rPr>
        <w:t>n Awardee</w:t>
      </w:r>
      <w:r w:rsidRPr="00636DEE">
        <w:rPr>
          <w:i/>
          <w:sz w:val="18"/>
          <w:szCs w:val="18"/>
        </w:rPr>
        <w:t xml:space="preserve"> causes loss or damage to a commodity through any act or omission or failure to provide proper storage, care</w:t>
      </w:r>
      <w:r w:rsidR="00A339EA">
        <w:rPr>
          <w:i/>
          <w:sz w:val="18"/>
          <w:szCs w:val="18"/>
        </w:rPr>
        <w:t>,</w:t>
      </w:r>
      <w:r w:rsidRPr="00636DEE">
        <w:rPr>
          <w:i/>
          <w:sz w:val="18"/>
          <w:szCs w:val="18"/>
        </w:rPr>
        <w:t xml:space="preserve"> and handling, the </w:t>
      </w:r>
      <w:r w:rsidR="00ED3470" w:rsidRPr="00ED3470">
        <w:rPr>
          <w:b/>
          <w:i/>
          <w:sz w:val="18"/>
          <w:szCs w:val="18"/>
        </w:rPr>
        <w:t>Awardee</w:t>
      </w:r>
      <w:r w:rsidRPr="00ED3470">
        <w:rPr>
          <w:b/>
          <w:i/>
          <w:sz w:val="18"/>
          <w:szCs w:val="18"/>
        </w:rPr>
        <w:t xml:space="preserve"> </w:t>
      </w:r>
      <w:r w:rsidRPr="00636DEE">
        <w:rPr>
          <w:b/>
          <w:i/>
          <w:sz w:val="18"/>
          <w:szCs w:val="18"/>
        </w:rPr>
        <w:t>shall pay to the United States the value of the commodities</w:t>
      </w:r>
      <w:r w:rsidRPr="00636DEE">
        <w:rPr>
          <w:i/>
          <w:sz w:val="18"/>
          <w:szCs w:val="18"/>
        </w:rPr>
        <w:t xml:space="preserve"> lost</w:t>
      </w:r>
      <w:r w:rsidR="005E60BD">
        <w:rPr>
          <w:i/>
          <w:sz w:val="18"/>
          <w:szCs w:val="18"/>
        </w:rPr>
        <w:t xml:space="preserve"> or</w:t>
      </w:r>
      <w:r w:rsidRPr="00636DEE">
        <w:rPr>
          <w:i/>
          <w:sz w:val="18"/>
          <w:szCs w:val="18"/>
        </w:rPr>
        <w:t xml:space="preserve"> damaged, unless </w:t>
      </w:r>
      <w:r w:rsidR="00B57017" w:rsidRPr="00636DEE">
        <w:rPr>
          <w:i/>
          <w:sz w:val="18"/>
          <w:szCs w:val="18"/>
        </w:rPr>
        <w:t>USAID</w:t>
      </w:r>
      <w:r w:rsidRPr="00636DEE">
        <w:rPr>
          <w:i/>
          <w:sz w:val="18"/>
          <w:szCs w:val="18"/>
        </w:rPr>
        <w:t xml:space="preserve"> determines that such loss or damage, could not have been prevented by proper exercise of the </w:t>
      </w:r>
      <w:r w:rsidR="00ED3470">
        <w:rPr>
          <w:i/>
          <w:sz w:val="18"/>
          <w:szCs w:val="18"/>
        </w:rPr>
        <w:t>Awardee</w:t>
      </w:r>
      <w:r w:rsidRPr="00636DEE">
        <w:rPr>
          <w:i/>
          <w:sz w:val="18"/>
          <w:szCs w:val="18"/>
        </w:rPr>
        <w:t>'s responsibility</w:t>
      </w:r>
      <w:r w:rsidR="00B57017" w:rsidRPr="00636DEE">
        <w:rPr>
          <w:i/>
          <w:sz w:val="18"/>
          <w:szCs w:val="18"/>
        </w:rPr>
        <w:t xml:space="preserve">. </w:t>
      </w:r>
      <w:r w:rsidRPr="00636DEE">
        <w:rPr>
          <w:i/>
          <w:sz w:val="18"/>
          <w:szCs w:val="18"/>
        </w:rPr>
        <w:t xml:space="preserve">In determining whether there was a proper exercise of the </w:t>
      </w:r>
      <w:r w:rsidR="00ED3470">
        <w:rPr>
          <w:i/>
          <w:sz w:val="18"/>
          <w:szCs w:val="18"/>
        </w:rPr>
        <w:t>Awardee</w:t>
      </w:r>
      <w:r w:rsidR="00ED3470" w:rsidRPr="00636DEE">
        <w:rPr>
          <w:i/>
          <w:sz w:val="18"/>
          <w:szCs w:val="18"/>
        </w:rPr>
        <w:t xml:space="preserve"> </w:t>
      </w:r>
      <w:r w:rsidRPr="00636DEE">
        <w:rPr>
          <w:i/>
          <w:sz w:val="18"/>
          <w:szCs w:val="18"/>
        </w:rPr>
        <w:t xml:space="preserve">'s responsibility, </w:t>
      </w:r>
      <w:r w:rsidR="00B57017" w:rsidRPr="00636DEE">
        <w:rPr>
          <w:i/>
          <w:sz w:val="18"/>
          <w:szCs w:val="18"/>
        </w:rPr>
        <w:t>USAID</w:t>
      </w:r>
      <w:r w:rsidRPr="00636DEE">
        <w:rPr>
          <w:i/>
          <w:sz w:val="18"/>
          <w:szCs w:val="18"/>
        </w:rPr>
        <w:t xml:space="preserve"> shall consider normal commercial practices in the country of distribution and the problems associated with carrying out pro</w:t>
      </w:r>
      <w:r w:rsidR="00B57017" w:rsidRPr="00636DEE">
        <w:rPr>
          <w:i/>
          <w:sz w:val="18"/>
          <w:szCs w:val="18"/>
        </w:rPr>
        <w:t xml:space="preserve">grams in developing countries.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595"/>
      </w:tblGrid>
      <w:tr w:rsidR="000C5C16" w:rsidRPr="006A719C" w:rsidTr="00054C00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C16" w:rsidRPr="005E60BD" w:rsidRDefault="000C5C16" w:rsidP="00054C00">
            <w:pPr>
              <w:spacing w:before="0"/>
              <w:rPr>
                <w:b/>
                <w:sz w:val="24"/>
                <w:szCs w:val="24"/>
              </w:rPr>
            </w:pPr>
            <w:r w:rsidRPr="006B4A79">
              <w:rPr>
                <w:b/>
                <w:color w:val="237990"/>
                <w:sz w:val="24"/>
                <w:szCs w:val="24"/>
              </w:rPr>
              <w:t>Policy</w:t>
            </w:r>
            <w:r w:rsidR="00ED3470">
              <w:rPr>
                <w:b/>
                <w:sz w:val="24"/>
                <w:szCs w:val="24"/>
              </w:rPr>
              <w:t xml:space="preserve"> </w:t>
            </w:r>
            <w:r w:rsidR="00ED3470" w:rsidRPr="00ED3470">
              <w:t>(non-negotiable)</w:t>
            </w:r>
          </w:p>
        </w:tc>
      </w:tr>
      <w:tr w:rsidR="000C5C16" w:rsidRPr="005E432F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6B4A79" w:rsidRDefault="000C5C16" w:rsidP="00E6405F">
            <w:pPr>
              <w:spacing w:before="80" w:after="40"/>
              <w:rPr>
                <w:sz w:val="28"/>
                <w:szCs w:val="28"/>
              </w:rPr>
            </w:pPr>
            <w:r w:rsidRPr="006B4A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5E60BD" w:rsidRDefault="00A339EA" w:rsidP="00A339EA">
            <w:pPr>
              <w:spacing w:before="40" w:after="0"/>
            </w:pPr>
            <w:r>
              <w:t>Inform a</w:t>
            </w:r>
            <w:r w:rsidR="00C1746A" w:rsidRPr="005E60BD">
              <w:t>ll managers of the donor regulations governing the control of USG</w:t>
            </w:r>
            <w:r>
              <w:t>-</w:t>
            </w:r>
            <w:r w:rsidR="00C1746A" w:rsidRPr="005E60BD">
              <w:t>donated food commodities.</w:t>
            </w:r>
          </w:p>
        </w:tc>
      </w:tr>
      <w:tr w:rsidR="000C5C16" w:rsidRPr="005E432F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6B4A79" w:rsidRDefault="000C5C16" w:rsidP="00E6405F">
            <w:pPr>
              <w:spacing w:before="80" w:after="40"/>
              <w:rPr>
                <w:sz w:val="28"/>
                <w:szCs w:val="28"/>
              </w:rPr>
            </w:pPr>
            <w:r w:rsidRPr="006B4A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5E60BD" w:rsidRDefault="00C1746A" w:rsidP="00E6405F">
            <w:pPr>
              <w:spacing w:before="40" w:after="0"/>
            </w:pPr>
            <w:r w:rsidRPr="005E60BD">
              <w:t>Warehouse staff, or others in direct control of commodity</w:t>
            </w:r>
            <w:r w:rsidRPr="009E6199">
              <w:t xml:space="preserve">, </w:t>
            </w:r>
            <w:r w:rsidRPr="009E6199">
              <w:rPr>
                <w:b/>
              </w:rPr>
              <w:t>never</w:t>
            </w:r>
            <w:r w:rsidRPr="005E60BD">
              <w:t xml:space="preserve"> draft or approve distribution plans, determine where commodity will be sent, nor authorize commodity dispatch on their own.</w:t>
            </w:r>
          </w:p>
        </w:tc>
      </w:tr>
      <w:tr w:rsidR="00032707" w:rsidRPr="005E432F" w:rsidTr="00054C0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32707" w:rsidRPr="006B4A79" w:rsidRDefault="00032707" w:rsidP="00E6405F">
            <w:pPr>
              <w:spacing w:before="80" w:after="40"/>
              <w:rPr>
                <w:sz w:val="28"/>
                <w:szCs w:val="28"/>
              </w:rPr>
            </w:pPr>
            <w:r w:rsidRPr="006B4A79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32707" w:rsidRPr="005E60BD" w:rsidRDefault="00032707" w:rsidP="00A339EA">
            <w:pPr>
              <w:spacing w:before="40" w:after="0"/>
            </w:pPr>
            <w:r w:rsidRPr="005E60BD">
              <w:t xml:space="preserve">At minimum, </w:t>
            </w:r>
            <w:r w:rsidR="00A339EA" w:rsidRPr="005E60BD">
              <w:t>staff not directly connected to the warehouse operations</w:t>
            </w:r>
            <w:r w:rsidR="00A339EA">
              <w:t xml:space="preserve"> conduct </w:t>
            </w:r>
            <w:r w:rsidR="00A339EA">
              <w:t>and reconcile</w:t>
            </w:r>
            <w:r w:rsidR="00A339EA">
              <w:t xml:space="preserve"> </w:t>
            </w:r>
            <w:r w:rsidRPr="005E60BD">
              <w:t>a quarterly warehouse physical inventory.</w:t>
            </w:r>
          </w:p>
        </w:tc>
      </w:tr>
      <w:tr w:rsidR="000C5C16" w:rsidRPr="006A719C" w:rsidTr="00054C00">
        <w:tc>
          <w:tcPr>
            <w:tcW w:w="9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C16" w:rsidRPr="005E60BD" w:rsidRDefault="000C5C16" w:rsidP="00ED3470">
            <w:pPr>
              <w:rPr>
                <w:b/>
                <w:sz w:val="24"/>
                <w:szCs w:val="24"/>
              </w:rPr>
            </w:pPr>
            <w:r w:rsidRPr="00F43BCF">
              <w:rPr>
                <w:b/>
                <w:color w:val="237990"/>
                <w:sz w:val="24"/>
                <w:szCs w:val="24"/>
              </w:rPr>
              <w:t>Recommended Standard Operating Procedures</w:t>
            </w:r>
            <w:r w:rsidR="00ED3470">
              <w:rPr>
                <w:b/>
                <w:sz w:val="24"/>
                <w:szCs w:val="24"/>
              </w:rPr>
              <w:t xml:space="preserve"> </w:t>
            </w:r>
            <w:r w:rsidR="00ED3470" w:rsidRPr="00ED3470">
              <w:t xml:space="preserve">(may </w:t>
            </w:r>
            <w:r w:rsidR="00ED3470">
              <w:t>vary</w:t>
            </w:r>
            <w:r w:rsidR="00ED3470" w:rsidRPr="00ED3470">
              <w:t xml:space="preserve"> </w:t>
            </w:r>
            <w:r w:rsidR="00A339EA">
              <w:t xml:space="preserve">depending on </w:t>
            </w:r>
            <w:r w:rsidR="00ED3470" w:rsidRPr="00ED3470">
              <w:t>warehouse</w:t>
            </w:r>
            <w:r w:rsidR="00ED3470">
              <w:t xml:space="preserve"> context</w:t>
            </w:r>
            <w:r w:rsidR="00ED3470" w:rsidRPr="00ED3470">
              <w:t>)</w:t>
            </w:r>
          </w:p>
        </w:tc>
      </w:tr>
      <w:tr w:rsidR="000C5C16" w:rsidRPr="006A719C" w:rsidTr="00E6405F">
        <w:trPr>
          <w:trHeight w:val="100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F43BCF" w:rsidRDefault="000C5C16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0C5C16" w:rsidRPr="005E60BD" w:rsidRDefault="0068348C" w:rsidP="00E6405F">
            <w:pPr>
              <w:spacing w:before="40" w:after="0"/>
            </w:pPr>
            <w:r w:rsidRPr="005E60BD">
              <w:t>All staff authorized to receive</w:t>
            </w:r>
            <w:r w:rsidR="00C324A3">
              <w:t xml:space="preserve">, dispatch, reconstitute, and dispose of </w:t>
            </w:r>
            <w:r w:rsidRPr="005E60BD">
              <w:t xml:space="preserve">commodity know that they may be held financially responsible for everything for which they </w:t>
            </w:r>
            <w:r w:rsidRPr="009E6199">
              <w:rPr>
                <w:b/>
              </w:rPr>
              <w:t>sign</w:t>
            </w:r>
            <w:r w:rsidRPr="005E60BD">
              <w:t>, regardless of the actual quantity and quality.</w:t>
            </w:r>
          </w:p>
        </w:tc>
      </w:tr>
      <w:tr w:rsidR="00D21518" w:rsidRPr="006A719C" w:rsidTr="00E6405F">
        <w:trPr>
          <w:trHeight w:val="100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A339EA">
            <w:pPr>
              <w:spacing w:before="40" w:after="0"/>
            </w:pPr>
            <w:r w:rsidRPr="005E60BD">
              <w:t xml:space="preserve">Warehouse managers review all source documents (receiving waybills, dispatch waybills, and </w:t>
            </w:r>
            <w:r w:rsidR="00A339EA">
              <w:t>l</w:t>
            </w:r>
            <w:r w:rsidRPr="005E60BD">
              <w:t xml:space="preserve">oss </w:t>
            </w:r>
            <w:r w:rsidR="00A339EA">
              <w:t>r</w:t>
            </w:r>
            <w:r w:rsidRPr="005E60BD">
              <w:t xml:space="preserve">eports) before entering data in ledgers, to ensure each has been authorized by the person delegated </w:t>
            </w:r>
            <w:r w:rsidR="00A339EA">
              <w:t xml:space="preserve">with </w:t>
            </w:r>
            <w:r w:rsidRPr="005E60BD">
              <w:t>that responsibility</w:t>
            </w:r>
            <w:r w:rsidR="00C324A3">
              <w:t>.</w:t>
            </w:r>
          </w:p>
        </w:tc>
      </w:tr>
      <w:tr w:rsidR="00D21518" w:rsidRPr="006A719C" w:rsidTr="00E6405F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A339EA">
            <w:pPr>
              <w:spacing w:before="40" w:after="0"/>
            </w:pPr>
            <w:r w:rsidRPr="005E60BD">
              <w:t xml:space="preserve">The person(s) authorized to sign </w:t>
            </w:r>
            <w:r w:rsidR="00A339EA">
              <w:t>d</w:t>
            </w:r>
            <w:r w:rsidRPr="005E60BD">
              <w:t xml:space="preserve">istribution </w:t>
            </w:r>
            <w:r w:rsidR="00A339EA">
              <w:t>p</w:t>
            </w:r>
            <w:r w:rsidRPr="005E60BD">
              <w:t>lans is/are specified.</w:t>
            </w:r>
          </w:p>
        </w:tc>
      </w:tr>
      <w:tr w:rsidR="00D21518" w:rsidRPr="006A719C" w:rsidTr="00E6405F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A339EA">
            <w:pPr>
              <w:spacing w:before="40" w:after="0"/>
            </w:pPr>
            <w:r w:rsidRPr="005E60BD">
              <w:t xml:space="preserve">The person(s) authorized to sign </w:t>
            </w:r>
            <w:r w:rsidR="00A339EA">
              <w:t>d</w:t>
            </w:r>
            <w:r w:rsidRPr="005E60BD">
              <w:t xml:space="preserve">ispatch </w:t>
            </w:r>
            <w:r w:rsidR="00A339EA">
              <w:t>a</w:t>
            </w:r>
            <w:r w:rsidRPr="005E60BD">
              <w:t>uthorizations is/are specified.</w:t>
            </w:r>
          </w:p>
        </w:tc>
      </w:tr>
      <w:tr w:rsidR="00D21518" w:rsidRPr="006A719C" w:rsidTr="00E6405F">
        <w:trPr>
          <w:trHeight w:val="43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 xml:space="preserve">The </w:t>
            </w:r>
            <w:r w:rsidR="00DA555E">
              <w:t>individual</w:t>
            </w:r>
            <w:r w:rsidRPr="005E60BD">
              <w:t>s who will control, prepare</w:t>
            </w:r>
            <w:r w:rsidR="00A339EA">
              <w:t>,</w:t>
            </w:r>
            <w:r w:rsidRPr="005E60BD">
              <w:t xml:space="preserve"> and sign </w:t>
            </w:r>
            <w:r w:rsidR="00A339EA">
              <w:t>w</w:t>
            </w:r>
            <w:r w:rsidRPr="005E60BD">
              <w:t>aybills are specified.</w:t>
            </w:r>
          </w:p>
        </w:tc>
      </w:tr>
      <w:tr w:rsidR="00D21518" w:rsidRPr="006A719C" w:rsidTr="00E6405F">
        <w:trPr>
          <w:trHeight w:val="7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>The person(s) authorized to approve the reconstitution of damaged commodity is/are specified. (For small amounts of inventory</w:t>
            </w:r>
            <w:r w:rsidR="00DA555E">
              <w:t>,</w:t>
            </w:r>
            <w:r w:rsidRPr="005E60BD">
              <w:t xml:space="preserve"> this may be the </w:t>
            </w:r>
            <w:r w:rsidR="00DA555E">
              <w:t>w</w:t>
            </w:r>
            <w:r w:rsidRPr="005E60BD">
              <w:t xml:space="preserve">arehouse </w:t>
            </w:r>
            <w:r w:rsidR="00DA555E">
              <w:t>m</w:t>
            </w:r>
            <w:r w:rsidRPr="005E60BD">
              <w:t>anager.)</w:t>
            </w:r>
          </w:p>
        </w:tc>
      </w:tr>
      <w:tr w:rsidR="00D21518" w:rsidRPr="006A719C" w:rsidTr="00E6405F">
        <w:trPr>
          <w:trHeight w:val="7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E6405F">
            <w:pPr>
              <w:spacing w:before="40" w:after="0"/>
            </w:pPr>
            <w:r w:rsidRPr="005E60BD">
              <w:t>The person(s) authorized to approve the disposal of commodity unfit for human consumption is/are specified.</w:t>
            </w:r>
          </w:p>
        </w:tc>
      </w:tr>
      <w:tr w:rsidR="00D21518" w:rsidRPr="006A719C" w:rsidTr="00E6405F">
        <w:trPr>
          <w:trHeight w:val="100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  <w:rPr>
                <w:lang w:val="en-GB"/>
              </w:rPr>
            </w:pPr>
            <w:r w:rsidRPr="005E60BD">
              <w:t xml:space="preserve">The person(s) who will </w:t>
            </w:r>
            <w:r w:rsidRPr="005E60BD">
              <w:rPr>
                <w:lang w:val="en-GB"/>
              </w:rPr>
              <w:t>compare quantities, dates</w:t>
            </w:r>
            <w:r w:rsidR="00DA555E">
              <w:rPr>
                <w:lang w:val="en-GB"/>
              </w:rPr>
              <w:t>,</w:t>
            </w:r>
            <w:r w:rsidRPr="005E60BD">
              <w:rPr>
                <w:lang w:val="en-GB"/>
              </w:rPr>
              <w:t xml:space="preserve"> and signatures of </w:t>
            </w:r>
            <w:r w:rsidRPr="009E6199">
              <w:rPr>
                <w:b/>
                <w:lang w:val="en-GB"/>
              </w:rPr>
              <w:t>waybills</w:t>
            </w:r>
            <w:r w:rsidRPr="005E60BD">
              <w:rPr>
                <w:lang w:val="en-GB"/>
              </w:rPr>
              <w:t xml:space="preserve"> to corresponding transporters’ invoices in order to identify losses or overcharges</w:t>
            </w:r>
            <w:r w:rsidR="00DA555E">
              <w:rPr>
                <w:lang w:val="en-GB"/>
              </w:rPr>
              <w:t>,</w:t>
            </w:r>
            <w:r w:rsidRPr="005E60BD">
              <w:rPr>
                <w:lang w:val="en-GB"/>
              </w:rPr>
              <w:t xml:space="preserve"> and </w:t>
            </w:r>
            <w:r w:rsidR="00DA555E">
              <w:rPr>
                <w:lang w:val="en-GB"/>
              </w:rPr>
              <w:t xml:space="preserve">who will </w:t>
            </w:r>
            <w:r w:rsidRPr="005E60BD">
              <w:rPr>
                <w:lang w:val="en-GB"/>
              </w:rPr>
              <w:t xml:space="preserve">promptly document and resolve any discrepancies </w:t>
            </w:r>
            <w:r w:rsidRPr="005E60BD">
              <w:t>is/are specified</w:t>
            </w:r>
            <w:r w:rsidRPr="005E60BD">
              <w:rPr>
                <w:lang w:val="en-GB"/>
              </w:rPr>
              <w:t>.</w:t>
            </w:r>
          </w:p>
        </w:tc>
      </w:tr>
      <w:tr w:rsidR="00D21518" w:rsidRPr="006A719C" w:rsidTr="00E6405F">
        <w:trPr>
          <w:trHeight w:val="7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>The person(s) who will reconcile ledgers with physical inventory counts and ensure any differences are adjusted by authorized staff is/are specified.</w:t>
            </w:r>
          </w:p>
        </w:tc>
      </w:tr>
      <w:tr w:rsidR="00D21518" w:rsidRPr="006A719C" w:rsidTr="00E6405F">
        <w:trPr>
          <w:trHeight w:val="100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 xml:space="preserve">Managers (not directly connected to the warehouse operations) conduct periodic </w:t>
            </w:r>
            <w:r w:rsidR="00C324A3">
              <w:t>unannounced</w:t>
            </w:r>
            <w:r w:rsidRPr="005E60BD">
              <w:t xml:space="preserve"> site visits to warehouses (including those of </w:t>
            </w:r>
            <w:r w:rsidR="005E60BD">
              <w:t>recipient agencies</w:t>
            </w:r>
            <w:r w:rsidR="00DA555E">
              <w:t>) to spot-</w:t>
            </w:r>
            <w:r w:rsidRPr="005E60BD">
              <w:t>check procedure compliance and conduct random physical counts of stored commodity.</w:t>
            </w:r>
          </w:p>
        </w:tc>
      </w:tr>
      <w:tr w:rsidR="00D21518" w:rsidRPr="006A719C" w:rsidTr="00E6405F">
        <w:trPr>
          <w:trHeight w:val="7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>A</w:t>
            </w:r>
            <w:r w:rsidRPr="005E60BD">
              <w:rPr>
                <w:bCs/>
              </w:rPr>
              <w:t xml:space="preserve"> monthly </w:t>
            </w:r>
            <w:r w:rsidR="00DA555E">
              <w:rPr>
                <w:bCs/>
              </w:rPr>
              <w:t>w</w:t>
            </w:r>
            <w:r w:rsidRPr="005E60BD">
              <w:rPr>
                <w:bCs/>
              </w:rPr>
              <w:t xml:space="preserve">arehouse </w:t>
            </w:r>
            <w:r w:rsidR="00DA555E">
              <w:rPr>
                <w:bCs/>
              </w:rPr>
              <w:t>i</w:t>
            </w:r>
            <w:r w:rsidRPr="005E60BD">
              <w:rPr>
                <w:bCs/>
              </w:rPr>
              <w:t xml:space="preserve">nspection </w:t>
            </w:r>
            <w:r w:rsidR="00DA555E">
              <w:rPr>
                <w:bCs/>
              </w:rPr>
              <w:t>r</w:t>
            </w:r>
            <w:r w:rsidRPr="005E60BD">
              <w:rPr>
                <w:bCs/>
              </w:rPr>
              <w:t>eport is completed</w:t>
            </w:r>
            <w:r w:rsidR="00DA555E">
              <w:rPr>
                <w:bCs/>
              </w:rPr>
              <w:t>, and all necessary follow-</w:t>
            </w:r>
            <w:r w:rsidRPr="005E60BD">
              <w:rPr>
                <w:bCs/>
              </w:rPr>
              <w:t xml:space="preserve">up actions are implemented in a timely manner. </w:t>
            </w:r>
          </w:p>
        </w:tc>
      </w:tr>
      <w:tr w:rsidR="00D21518" w:rsidRPr="006A719C" w:rsidTr="00E6405F">
        <w:trPr>
          <w:trHeight w:val="7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>The frequency and content of warehouse status reports is determined</w:t>
            </w:r>
            <w:r w:rsidR="00DA555E">
              <w:t>,</w:t>
            </w:r>
            <w:r w:rsidRPr="005E60BD">
              <w:t xml:space="preserve"> and warehouse management staff are informed of their responsibility.</w:t>
            </w:r>
          </w:p>
        </w:tc>
      </w:tr>
      <w:tr w:rsidR="00D21518" w:rsidRPr="006A719C" w:rsidTr="0068348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F43BCF" w:rsidRDefault="00D21518" w:rsidP="00E6405F">
            <w:pPr>
              <w:spacing w:before="80" w:after="40"/>
              <w:rPr>
                <w:sz w:val="28"/>
                <w:szCs w:val="28"/>
              </w:rPr>
            </w:pPr>
            <w:r w:rsidRPr="00F43BCF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  <w:tcBorders>
              <w:top w:val="nil"/>
              <w:left w:val="nil"/>
              <w:bottom w:val="nil"/>
              <w:right w:val="nil"/>
            </w:tcBorders>
          </w:tcPr>
          <w:p w:rsidR="00D21518" w:rsidRPr="005E60BD" w:rsidRDefault="00D21518" w:rsidP="00DA555E">
            <w:pPr>
              <w:spacing w:before="40" w:after="0"/>
            </w:pPr>
            <w:r w:rsidRPr="005E60BD">
              <w:t>All reports produced by commodity management personnel are reviewed to ensure accuracy and completeness of data, and reconciliation against source documents (e.g.</w:t>
            </w:r>
            <w:r w:rsidR="00DA555E">
              <w:t>,</w:t>
            </w:r>
            <w:r w:rsidRPr="005E60BD">
              <w:t xml:space="preserve"> waybills, physical inventories</w:t>
            </w:r>
            <w:r w:rsidR="00DA555E">
              <w:t xml:space="preserve"> and</w:t>
            </w:r>
            <w:bookmarkStart w:id="1" w:name="_GoBack"/>
            <w:bookmarkEnd w:id="1"/>
            <w:r w:rsidRPr="005E60BD">
              <w:t xml:space="preserve"> distribution reports).</w:t>
            </w:r>
          </w:p>
        </w:tc>
      </w:tr>
    </w:tbl>
    <w:p w:rsidR="000C5C16" w:rsidRPr="00F42872" w:rsidRDefault="000C5C16" w:rsidP="00082BE5">
      <w:pPr>
        <w:rPr>
          <w:bCs/>
        </w:rPr>
      </w:pPr>
    </w:p>
    <w:sectPr w:rsidR="000C5C16" w:rsidRPr="00F42872" w:rsidSect="00636DEE">
      <w:headerReference w:type="default" r:id="rId7"/>
      <w:footerReference w:type="default" r:id="rId8"/>
      <w:pgSz w:w="11907" w:h="16839" w:code="9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EC" w:rsidRDefault="001E63EC" w:rsidP="00C70769">
      <w:pPr>
        <w:spacing w:before="0" w:after="0"/>
      </w:pPr>
      <w:r>
        <w:separator/>
      </w:r>
    </w:p>
  </w:endnote>
  <w:endnote w:type="continuationSeparator" w:id="0">
    <w:p w:rsidR="001E63EC" w:rsidRDefault="001E63EC" w:rsidP="00C70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04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B0F35" w:rsidRPr="00260A74" w:rsidRDefault="00F11883" w:rsidP="00F11883">
            <w:pPr>
              <w:pStyle w:val="Footer"/>
              <w:jc w:val="center"/>
            </w:pPr>
            <w:r w:rsidRPr="00260A74">
              <w:t xml:space="preserve">Page </w:t>
            </w:r>
            <w:r w:rsidR="001737A7" w:rsidRPr="00260A74">
              <w:fldChar w:fldCharType="begin"/>
            </w:r>
            <w:r w:rsidRPr="00260A74">
              <w:instrText xml:space="preserve"> PAGE </w:instrText>
            </w:r>
            <w:r w:rsidR="001737A7" w:rsidRPr="00260A74">
              <w:fldChar w:fldCharType="separate"/>
            </w:r>
            <w:r w:rsidR="00DA555E">
              <w:rPr>
                <w:noProof/>
              </w:rPr>
              <w:t>1</w:t>
            </w:r>
            <w:r w:rsidR="001737A7" w:rsidRPr="00260A74">
              <w:fldChar w:fldCharType="end"/>
            </w:r>
            <w:r w:rsidRPr="00260A74">
              <w:t xml:space="preserve"> of </w:t>
            </w:r>
            <w:r w:rsidR="001737A7" w:rsidRPr="00260A74">
              <w:fldChar w:fldCharType="begin"/>
            </w:r>
            <w:r w:rsidRPr="00260A74">
              <w:instrText xml:space="preserve"> NUMPAGES  </w:instrText>
            </w:r>
            <w:r w:rsidR="001737A7" w:rsidRPr="00260A74">
              <w:fldChar w:fldCharType="separate"/>
            </w:r>
            <w:r w:rsidR="00DA555E">
              <w:rPr>
                <w:noProof/>
              </w:rPr>
              <w:t>1</w:t>
            </w:r>
            <w:r w:rsidR="001737A7" w:rsidRPr="00260A74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EC" w:rsidRDefault="001E63EC" w:rsidP="00C70769">
      <w:pPr>
        <w:spacing w:before="0" w:after="0"/>
      </w:pPr>
      <w:r>
        <w:separator/>
      </w:r>
    </w:p>
  </w:footnote>
  <w:footnote w:type="continuationSeparator" w:id="0">
    <w:p w:rsidR="001E63EC" w:rsidRDefault="001E63EC" w:rsidP="00C707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35" w:rsidRPr="005224BD" w:rsidRDefault="00F11883" w:rsidP="00F11883">
    <w:pPr>
      <w:pStyle w:val="Header"/>
      <w:jc w:val="center"/>
      <w:rPr>
        <w:sz w:val="24"/>
        <w:szCs w:val="24"/>
      </w:rPr>
    </w:pPr>
    <w:r w:rsidRPr="00260A74">
      <w:rPr>
        <w:b/>
        <w:color w:val="237990"/>
        <w:sz w:val="28"/>
        <w:szCs w:val="28"/>
      </w:rPr>
      <w:t xml:space="preserve">Warehouse </w:t>
    </w:r>
    <w:r w:rsidR="00032707" w:rsidRPr="00260A74">
      <w:rPr>
        <w:b/>
        <w:color w:val="237990"/>
        <w:sz w:val="28"/>
        <w:szCs w:val="28"/>
      </w:rPr>
      <w:t>Oversight and Control</w:t>
    </w:r>
    <w:r w:rsidR="00B57017" w:rsidRPr="00260A74">
      <w:rPr>
        <w:b/>
        <w:color w:val="237990"/>
        <w:sz w:val="28"/>
        <w:szCs w:val="28"/>
      </w:rPr>
      <w:t xml:space="preserve"> </w:t>
    </w:r>
    <w:r w:rsidR="00EF5BA2" w:rsidRPr="00260A74">
      <w:rPr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7A4"/>
    <w:multiLevelType w:val="hybridMultilevel"/>
    <w:tmpl w:val="781C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A2E"/>
    <w:multiLevelType w:val="hybridMultilevel"/>
    <w:tmpl w:val="2856BE52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146AB"/>
    <w:multiLevelType w:val="hybridMultilevel"/>
    <w:tmpl w:val="7F80E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A10CD"/>
    <w:multiLevelType w:val="hybridMultilevel"/>
    <w:tmpl w:val="9B7EABF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80593"/>
    <w:multiLevelType w:val="hybridMultilevel"/>
    <w:tmpl w:val="00A2AE1E"/>
    <w:lvl w:ilvl="0" w:tplc="3144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 w15:restartNumberingAfterBreak="0">
    <w:nsid w:val="39D26A52"/>
    <w:multiLevelType w:val="hybridMultilevel"/>
    <w:tmpl w:val="2CB8E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57457"/>
    <w:multiLevelType w:val="hybridMultilevel"/>
    <w:tmpl w:val="1A9AE7CC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B35089"/>
    <w:multiLevelType w:val="hybridMultilevel"/>
    <w:tmpl w:val="C33A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F43B8"/>
    <w:multiLevelType w:val="hybridMultilevel"/>
    <w:tmpl w:val="3272C1C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F554E"/>
    <w:multiLevelType w:val="hybridMultilevel"/>
    <w:tmpl w:val="D44ADBAC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62387C"/>
    <w:multiLevelType w:val="hybridMultilevel"/>
    <w:tmpl w:val="78E42ED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26A5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D4189"/>
    <w:multiLevelType w:val="hybridMultilevel"/>
    <w:tmpl w:val="4C1A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93E34"/>
    <w:multiLevelType w:val="hybridMultilevel"/>
    <w:tmpl w:val="0054E2C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6748"/>
    <w:multiLevelType w:val="hybridMultilevel"/>
    <w:tmpl w:val="285CB034"/>
    <w:lvl w:ilvl="0" w:tplc="314470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766F4E60"/>
    <w:multiLevelType w:val="hybridMultilevel"/>
    <w:tmpl w:val="0F58E7A8"/>
    <w:lvl w:ilvl="0" w:tplc="F59AC46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B3413"/>
    <w:multiLevelType w:val="hybridMultilevel"/>
    <w:tmpl w:val="014E5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F4D54"/>
    <w:multiLevelType w:val="hybridMultilevel"/>
    <w:tmpl w:val="BEB26148"/>
    <w:lvl w:ilvl="0" w:tplc="65ACE4A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CD59A7"/>
    <w:multiLevelType w:val="hybridMultilevel"/>
    <w:tmpl w:val="44A26A0A"/>
    <w:lvl w:ilvl="0" w:tplc="F59AC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CA6752"/>
    <w:multiLevelType w:val="hybridMultilevel"/>
    <w:tmpl w:val="090C9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769"/>
    <w:rsid w:val="00005E3F"/>
    <w:rsid w:val="00013C47"/>
    <w:rsid w:val="00026341"/>
    <w:rsid w:val="00027828"/>
    <w:rsid w:val="00032707"/>
    <w:rsid w:val="000531B3"/>
    <w:rsid w:val="00070827"/>
    <w:rsid w:val="00082BE5"/>
    <w:rsid w:val="000B75D5"/>
    <w:rsid w:val="000C5C16"/>
    <w:rsid w:val="00112B5D"/>
    <w:rsid w:val="00124FEA"/>
    <w:rsid w:val="00165D64"/>
    <w:rsid w:val="001737A7"/>
    <w:rsid w:val="001754EF"/>
    <w:rsid w:val="001A1CA4"/>
    <w:rsid w:val="001D47A3"/>
    <w:rsid w:val="001E63EC"/>
    <w:rsid w:val="0021651E"/>
    <w:rsid w:val="002243F3"/>
    <w:rsid w:val="002305AD"/>
    <w:rsid w:val="00230F56"/>
    <w:rsid w:val="002528D7"/>
    <w:rsid w:val="00260A74"/>
    <w:rsid w:val="002674E9"/>
    <w:rsid w:val="002E0D1A"/>
    <w:rsid w:val="002F0B03"/>
    <w:rsid w:val="00305C4F"/>
    <w:rsid w:val="00315780"/>
    <w:rsid w:val="00333A6A"/>
    <w:rsid w:val="00341B54"/>
    <w:rsid w:val="003630B8"/>
    <w:rsid w:val="00371343"/>
    <w:rsid w:val="003772F1"/>
    <w:rsid w:val="003F11B7"/>
    <w:rsid w:val="00404A18"/>
    <w:rsid w:val="00407BBC"/>
    <w:rsid w:val="004844D3"/>
    <w:rsid w:val="00491E10"/>
    <w:rsid w:val="004D52C3"/>
    <w:rsid w:val="004E103B"/>
    <w:rsid w:val="005110D0"/>
    <w:rsid w:val="005224BD"/>
    <w:rsid w:val="00523626"/>
    <w:rsid w:val="005B091E"/>
    <w:rsid w:val="005B721B"/>
    <w:rsid w:val="005C25D3"/>
    <w:rsid w:val="005C2C99"/>
    <w:rsid w:val="005D221F"/>
    <w:rsid w:val="005E60BD"/>
    <w:rsid w:val="00636DEE"/>
    <w:rsid w:val="0068348C"/>
    <w:rsid w:val="00690DAB"/>
    <w:rsid w:val="006A3197"/>
    <w:rsid w:val="006B4A79"/>
    <w:rsid w:val="00711DE4"/>
    <w:rsid w:val="0072232B"/>
    <w:rsid w:val="00752FC1"/>
    <w:rsid w:val="007607EA"/>
    <w:rsid w:val="00772302"/>
    <w:rsid w:val="007C7BAE"/>
    <w:rsid w:val="007F4084"/>
    <w:rsid w:val="00835536"/>
    <w:rsid w:val="00864A63"/>
    <w:rsid w:val="00872021"/>
    <w:rsid w:val="0088745F"/>
    <w:rsid w:val="008E14CA"/>
    <w:rsid w:val="009879F4"/>
    <w:rsid w:val="009C3740"/>
    <w:rsid w:val="009E6199"/>
    <w:rsid w:val="00A0514C"/>
    <w:rsid w:val="00A1592A"/>
    <w:rsid w:val="00A16626"/>
    <w:rsid w:val="00A21260"/>
    <w:rsid w:val="00A339EA"/>
    <w:rsid w:val="00A61817"/>
    <w:rsid w:val="00A72C4C"/>
    <w:rsid w:val="00A878DE"/>
    <w:rsid w:val="00B0381C"/>
    <w:rsid w:val="00B57017"/>
    <w:rsid w:val="00BB0717"/>
    <w:rsid w:val="00BB5C89"/>
    <w:rsid w:val="00C1746A"/>
    <w:rsid w:val="00C324A3"/>
    <w:rsid w:val="00C60DE0"/>
    <w:rsid w:val="00C70769"/>
    <w:rsid w:val="00CA502F"/>
    <w:rsid w:val="00CC693D"/>
    <w:rsid w:val="00D167C7"/>
    <w:rsid w:val="00D21518"/>
    <w:rsid w:val="00DA555E"/>
    <w:rsid w:val="00DA6664"/>
    <w:rsid w:val="00DB0F35"/>
    <w:rsid w:val="00DD048D"/>
    <w:rsid w:val="00E07C1B"/>
    <w:rsid w:val="00E532BD"/>
    <w:rsid w:val="00E6405F"/>
    <w:rsid w:val="00E7138C"/>
    <w:rsid w:val="00E86B5B"/>
    <w:rsid w:val="00ED3258"/>
    <w:rsid w:val="00ED3470"/>
    <w:rsid w:val="00EF2AAD"/>
    <w:rsid w:val="00EF5BA2"/>
    <w:rsid w:val="00F11883"/>
    <w:rsid w:val="00F42872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91866"/>
  <w15:docId w15:val="{7E4FF0ED-97DC-484A-97F4-498C614C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6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0769"/>
  </w:style>
  <w:style w:type="paragraph" w:styleId="Footer">
    <w:name w:val="footer"/>
    <w:basedOn w:val="Normal"/>
    <w:link w:val="FooterChar"/>
    <w:uiPriority w:val="99"/>
    <w:unhideWhenUsed/>
    <w:rsid w:val="00C7076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0769"/>
  </w:style>
  <w:style w:type="paragraph" w:styleId="BalloonText">
    <w:name w:val="Balloon Text"/>
    <w:basedOn w:val="Normal"/>
    <w:link w:val="BalloonTextChar"/>
    <w:uiPriority w:val="99"/>
    <w:semiHidden/>
    <w:unhideWhenUsed/>
    <w:rsid w:val="00C707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BE5"/>
    <w:pPr>
      <w:ind w:left="720"/>
      <w:contextualSpacing/>
    </w:pPr>
  </w:style>
  <w:style w:type="paragraph" w:styleId="NormalWeb">
    <w:name w:val="Normal (Web)"/>
    <w:basedOn w:val="Normal"/>
    <w:rsid w:val="00082B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2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2015-11-05T00:53:00Z</cp:lastPrinted>
  <dcterms:created xsi:type="dcterms:W3CDTF">2017-03-16T10:22:00Z</dcterms:created>
  <dcterms:modified xsi:type="dcterms:W3CDTF">2017-03-16T10:22:00Z</dcterms:modified>
</cp:coreProperties>
</file>