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1E" w:rsidRPr="006F2F0D" w:rsidRDefault="00421A1E" w:rsidP="00ED6B7A">
      <w:pPr>
        <w:pStyle w:val="Heading1"/>
        <w:rPr>
          <w:rFonts w:ascii="Arial" w:hAnsi="Arial" w:cs="Arial"/>
          <w:szCs w:val="24"/>
        </w:rPr>
      </w:pPr>
      <w:r w:rsidRPr="006F2F0D">
        <w:rPr>
          <w:rFonts w:ascii="Arial" w:hAnsi="Arial" w:cs="Arial"/>
          <w:szCs w:val="24"/>
        </w:rPr>
        <w:t>Core Competencies</w:t>
      </w:r>
      <w:r w:rsidR="008D241F">
        <w:rPr>
          <w:rFonts w:ascii="Arial" w:hAnsi="Arial" w:cs="Arial"/>
          <w:szCs w:val="24"/>
        </w:rPr>
        <w:t xml:space="preserve"> for Gender Advisors or Specialists</w:t>
      </w:r>
    </w:p>
    <w:p w:rsidR="00421A1E" w:rsidRPr="006F2F0D" w:rsidRDefault="00421A1E" w:rsidP="008D241F">
      <w:pPr>
        <w:pStyle w:val="Heading1"/>
        <w:rPr>
          <w:rFonts w:ascii="Arial" w:hAnsi="Arial" w:cs="Arial"/>
          <w:szCs w:val="24"/>
        </w:rPr>
      </w:pPr>
      <w:r w:rsidRPr="006F2F0D">
        <w:rPr>
          <w:rFonts w:ascii="Arial" w:hAnsi="Arial" w:cs="Arial"/>
          <w:szCs w:val="24"/>
        </w:rPr>
        <w:t>Food Security and Nutrition Network</w:t>
      </w:r>
      <w:r w:rsidR="008D241F">
        <w:rPr>
          <w:rFonts w:ascii="Arial" w:hAnsi="Arial" w:cs="Arial"/>
          <w:szCs w:val="24"/>
        </w:rPr>
        <w:t xml:space="preserve"> </w:t>
      </w:r>
      <w:r w:rsidRPr="006F2F0D">
        <w:rPr>
          <w:rFonts w:ascii="Arial" w:hAnsi="Arial" w:cs="Arial"/>
          <w:szCs w:val="24"/>
        </w:rPr>
        <w:t>Gender Task Force</w:t>
      </w:r>
    </w:p>
    <w:p w:rsidR="00421A1E" w:rsidRPr="006F2F0D" w:rsidRDefault="00FD0A6B" w:rsidP="006F2F0D">
      <w:pPr>
        <w:pStyle w:val="Heading1"/>
        <w:rPr>
          <w:rFonts w:ascii="Arial" w:hAnsi="Arial" w:cs="Arial"/>
          <w:szCs w:val="24"/>
        </w:rPr>
      </w:pPr>
      <w:r>
        <w:rPr>
          <w:rFonts w:ascii="Arial" w:hAnsi="Arial" w:cs="Arial"/>
          <w:szCs w:val="24"/>
        </w:rPr>
        <w:t>March</w:t>
      </w:r>
      <w:r w:rsidR="008D241F">
        <w:rPr>
          <w:rFonts w:ascii="Arial" w:hAnsi="Arial" w:cs="Arial"/>
          <w:szCs w:val="24"/>
        </w:rPr>
        <w:t xml:space="preserve"> 2014</w:t>
      </w:r>
      <w:r w:rsidR="006F2F0D" w:rsidRPr="006F2F0D">
        <w:rPr>
          <w:rStyle w:val="FootnoteReference"/>
          <w:rFonts w:ascii="Arial" w:hAnsi="Arial" w:cs="Arial"/>
          <w:szCs w:val="24"/>
        </w:rPr>
        <w:footnoteReference w:id="1"/>
      </w:r>
    </w:p>
    <w:p w:rsidR="006F2F0D" w:rsidRDefault="006F2F0D" w:rsidP="006F2F0D">
      <w:pPr>
        <w:rPr>
          <w:sz w:val="22"/>
          <w:szCs w:val="22"/>
        </w:rPr>
      </w:pPr>
    </w:p>
    <w:p w:rsidR="006F2F0D" w:rsidRDefault="008D241F" w:rsidP="006F2F0D">
      <w:pPr>
        <w:rPr>
          <w:sz w:val="22"/>
          <w:szCs w:val="22"/>
        </w:rPr>
      </w:pPr>
      <w:r>
        <w:rPr>
          <w:sz w:val="22"/>
          <w:szCs w:val="22"/>
        </w:rPr>
        <w:t>G</w:t>
      </w:r>
      <w:r w:rsidR="00D753A2">
        <w:rPr>
          <w:sz w:val="22"/>
          <w:szCs w:val="22"/>
        </w:rPr>
        <w:t>ender</w:t>
      </w:r>
      <w:r w:rsidR="006F2F0D">
        <w:rPr>
          <w:sz w:val="22"/>
          <w:szCs w:val="22"/>
        </w:rPr>
        <w:t xml:space="preserve"> </w:t>
      </w:r>
      <w:r>
        <w:rPr>
          <w:sz w:val="22"/>
          <w:szCs w:val="22"/>
        </w:rPr>
        <w:t>advisors or specialists for development food assistance programs are typically located in the country where programs are implemented</w:t>
      </w:r>
      <w:r w:rsidR="00D753A2">
        <w:rPr>
          <w:sz w:val="22"/>
          <w:szCs w:val="22"/>
        </w:rPr>
        <w:t xml:space="preserve">.  </w:t>
      </w:r>
      <w:r>
        <w:rPr>
          <w:sz w:val="22"/>
          <w:szCs w:val="22"/>
        </w:rPr>
        <w:t>They provide guidance to other technical leads and senior management on designing and/or modifying activities for gender equitable outcomes.  They also assist in monitoring activities and results</w:t>
      </w:r>
      <w:r w:rsidR="008B0B62">
        <w:rPr>
          <w:sz w:val="22"/>
          <w:szCs w:val="22"/>
        </w:rPr>
        <w:t>,</w:t>
      </w:r>
      <w:r>
        <w:rPr>
          <w:sz w:val="22"/>
          <w:szCs w:val="22"/>
        </w:rPr>
        <w:t xml:space="preserve"> paying particular attention to unintended negative impacts.</w:t>
      </w:r>
      <w:r w:rsidR="008F2620">
        <w:rPr>
          <w:sz w:val="22"/>
          <w:szCs w:val="22"/>
        </w:rPr>
        <w:t xml:space="preserve">  Gende</w:t>
      </w:r>
      <w:r w:rsidR="00EB01B6">
        <w:rPr>
          <w:sz w:val="22"/>
          <w:szCs w:val="22"/>
        </w:rPr>
        <w:t xml:space="preserve">r advisors/specialists take into account </w:t>
      </w:r>
      <w:r w:rsidR="008F2620">
        <w:rPr>
          <w:sz w:val="22"/>
          <w:szCs w:val="22"/>
        </w:rPr>
        <w:t xml:space="preserve">contextually relevant </w:t>
      </w:r>
      <w:r w:rsidR="00EB01B6">
        <w:rPr>
          <w:sz w:val="22"/>
          <w:szCs w:val="22"/>
        </w:rPr>
        <w:t>considerations such as socioeconomic conditions, religion/faith/spirituality, language, and the physical</w:t>
      </w:r>
      <w:r w:rsidR="00A01DEB">
        <w:rPr>
          <w:sz w:val="22"/>
          <w:szCs w:val="22"/>
        </w:rPr>
        <w:t>,</w:t>
      </w:r>
      <w:r w:rsidR="00EB01B6">
        <w:rPr>
          <w:sz w:val="22"/>
          <w:szCs w:val="22"/>
        </w:rPr>
        <w:t xml:space="preserve"> as well as enabling environments.</w:t>
      </w:r>
    </w:p>
    <w:p w:rsidR="006F2F0D" w:rsidRDefault="006F2F0D" w:rsidP="006F2F0D">
      <w:pPr>
        <w:rPr>
          <w:sz w:val="22"/>
          <w:szCs w:val="22"/>
        </w:rPr>
      </w:pPr>
    </w:p>
    <w:p w:rsidR="00B44200" w:rsidRDefault="008D241F" w:rsidP="008D241F">
      <w:pPr>
        <w:pStyle w:val="ListParagraph"/>
        <w:numPr>
          <w:ilvl w:val="0"/>
          <w:numId w:val="8"/>
        </w:numPr>
        <w:rPr>
          <w:sz w:val="22"/>
          <w:szCs w:val="22"/>
        </w:rPr>
      </w:pPr>
      <w:r>
        <w:rPr>
          <w:sz w:val="22"/>
          <w:szCs w:val="22"/>
        </w:rPr>
        <w:t>Gender Concepts</w:t>
      </w:r>
    </w:p>
    <w:p w:rsidR="0058510E" w:rsidRDefault="0058510E" w:rsidP="00CC3DD2">
      <w:pPr>
        <w:pStyle w:val="ListParagraph"/>
        <w:numPr>
          <w:ilvl w:val="1"/>
          <w:numId w:val="8"/>
        </w:numPr>
        <w:rPr>
          <w:sz w:val="22"/>
          <w:szCs w:val="22"/>
        </w:rPr>
      </w:pPr>
      <w:r>
        <w:rPr>
          <w:sz w:val="22"/>
          <w:szCs w:val="22"/>
        </w:rPr>
        <w:t>Demonstrated understanding of gender equality</w:t>
      </w:r>
      <w:r w:rsidR="00647D1F">
        <w:rPr>
          <w:sz w:val="22"/>
          <w:szCs w:val="22"/>
        </w:rPr>
        <w:t xml:space="preserve"> and equit</w:t>
      </w:r>
      <w:r w:rsidR="003E75DD">
        <w:rPr>
          <w:sz w:val="22"/>
          <w:szCs w:val="22"/>
        </w:rPr>
        <w:t>y</w:t>
      </w:r>
      <w:r>
        <w:rPr>
          <w:sz w:val="22"/>
          <w:szCs w:val="22"/>
        </w:rPr>
        <w:t xml:space="preserve">, gender integration, </w:t>
      </w:r>
      <w:r w:rsidR="00FC00E4">
        <w:rPr>
          <w:sz w:val="22"/>
          <w:szCs w:val="22"/>
        </w:rPr>
        <w:t xml:space="preserve">and </w:t>
      </w:r>
      <w:r w:rsidR="008F2620">
        <w:rPr>
          <w:sz w:val="22"/>
          <w:szCs w:val="22"/>
        </w:rPr>
        <w:t xml:space="preserve">engaging men as agents of change and </w:t>
      </w:r>
      <w:r w:rsidR="00FC00E4">
        <w:rPr>
          <w:sz w:val="22"/>
          <w:szCs w:val="22"/>
        </w:rPr>
        <w:t>women’s empowerment.</w:t>
      </w:r>
    </w:p>
    <w:p w:rsidR="00ED6B7A" w:rsidRDefault="00CC3DD2" w:rsidP="00CC3DD2">
      <w:pPr>
        <w:pStyle w:val="ListParagraph"/>
        <w:numPr>
          <w:ilvl w:val="1"/>
          <w:numId w:val="8"/>
        </w:numPr>
        <w:rPr>
          <w:sz w:val="22"/>
          <w:szCs w:val="22"/>
        </w:rPr>
      </w:pPr>
      <w:r>
        <w:rPr>
          <w:sz w:val="22"/>
          <w:szCs w:val="22"/>
        </w:rPr>
        <w:t>Knowledge of the Domains of Analysis included in ADS 205</w:t>
      </w:r>
      <w:r w:rsidR="00212C2C">
        <w:rPr>
          <w:sz w:val="22"/>
          <w:szCs w:val="22"/>
        </w:rPr>
        <w:t xml:space="preserve"> and </w:t>
      </w:r>
      <w:r w:rsidR="008B0B62">
        <w:rPr>
          <w:sz w:val="22"/>
          <w:szCs w:val="22"/>
        </w:rPr>
        <w:t xml:space="preserve">the </w:t>
      </w:r>
      <w:r w:rsidR="00212C2C">
        <w:rPr>
          <w:sz w:val="22"/>
          <w:szCs w:val="22"/>
        </w:rPr>
        <w:t>ability to explain them to program stakeholders</w:t>
      </w:r>
    </w:p>
    <w:p w:rsidR="00CC3DD2" w:rsidRPr="00CC3DD2" w:rsidRDefault="00CC3DD2" w:rsidP="00CC3DD2">
      <w:pPr>
        <w:pStyle w:val="ListParagraph"/>
        <w:numPr>
          <w:ilvl w:val="2"/>
          <w:numId w:val="8"/>
        </w:numPr>
        <w:rPr>
          <w:sz w:val="22"/>
          <w:szCs w:val="22"/>
        </w:rPr>
      </w:pPr>
      <w:r w:rsidRPr="00CC3DD2">
        <w:rPr>
          <w:bCs/>
          <w:sz w:val="22"/>
          <w:szCs w:val="22"/>
        </w:rPr>
        <w:t>Laws, Policies, Regulations, and Institutional Practices</w:t>
      </w:r>
    </w:p>
    <w:p w:rsidR="00CC3DD2" w:rsidRPr="00CC3DD2" w:rsidRDefault="00CC3DD2" w:rsidP="00CC3DD2">
      <w:pPr>
        <w:pStyle w:val="ListParagraph"/>
        <w:numPr>
          <w:ilvl w:val="2"/>
          <w:numId w:val="8"/>
        </w:numPr>
        <w:rPr>
          <w:sz w:val="22"/>
          <w:szCs w:val="22"/>
        </w:rPr>
      </w:pPr>
      <w:r w:rsidRPr="00CC3DD2">
        <w:rPr>
          <w:bCs/>
          <w:sz w:val="22"/>
          <w:szCs w:val="22"/>
        </w:rPr>
        <w:t>Cultural Norms and Beliefs</w:t>
      </w:r>
    </w:p>
    <w:p w:rsidR="00CC3DD2" w:rsidRPr="00CC3DD2" w:rsidRDefault="00CC3DD2" w:rsidP="00CC3DD2">
      <w:pPr>
        <w:pStyle w:val="ListParagraph"/>
        <w:numPr>
          <w:ilvl w:val="2"/>
          <w:numId w:val="8"/>
        </w:numPr>
        <w:rPr>
          <w:sz w:val="22"/>
          <w:szCs w:val="22"/>
        </w:rPr>
      </w:pPr>
      <w:r w:rsidRPr="00CC3DD2">
        <w:rPr>
          <w:bCs/>
          <w:sz w:val="22"/>
          <w:szCs w:val="22"/>
        </w:rPr>
        <w:t>Gender Roles, Responsibilities, and Time Used</w:t>
      </w:r>
    </w:p>
    <w:p w:rsidR="00CC3DD2" w:rsidRPr="00CC3DD2" w:rsidRDefault="00CC3DD2" w:rsidP="00CC3DD2">
      <w:pPr>
        <w:pStyle w:val="ListParagraph"/>
        <w:numPr>
          <w:ilvl w:val="2"/>
          <w:numId w:val="8"/>
        </w:numPr>
        <w:rPr>
          <w:sz w:val="22"/>
          <w:szCs w:val="22"/>
        </w:rPr>
      </w:pPr>
      <w:r w:rsidRPr="00CC3DD2">
        <w:rPr>
          <w:bCs/>
          <w:sz w:val="22"/>
          <w:szCs w:val="22"/>
        </w:rPr>
        <w:t>Access to and Control over Assets and Resources</w:t>
      </w:r>
    </w:p>
    <w:p w:rsidR="00CC3DD2" w:rsidRPr="00FC00E4" w:rsidRDefault="00CC3DD2" w:rsidP="00CC3DD2">
      <w:pPr>
        <w:pStyle w:val="ListParagraph"/>
        <w:numPr>
          <w:ilvl w:val="2"/>
          <w:numId w:val="8"/>
        </w:numPr>
        <w:rPr>
          <w:sz w:val="22"/>
          <w:szCs w:val="22"/>
        </w:rPr>
      </w:pPr>
      <w:r w:rsidRPr="00CC3DD2">
        <w:rPr>
          <w:bCs/>
          <w:sz w:val="22"/>
          <w:szCs w:val="22"/>
        </w:rPr>
        <w:t>Patterns of Power and Decision-making</w:t>
      </w:r>
    </w:p>
    <w:p w:rsidR="00FC00E4" w:rsidRPr="00FC00E4" w:rsidRDefault="00647D1F" w:rsidP="00FC00E4">
      <w:pPr>
        <w:pStyle w:val="ListParagraph"/>
        <w:numPr>
          <w:ilvl w:val="1"/>
          <w:numId w:val="8"/>
        </w:numPr>
        <w:rPr>
          <w:sz w:val="22"/>
          <w:szCs w:val="22"/>
        </w:rPr>
      </w:pPr>
      <w:r>
        <w:rPr>
          <w:bCs/>
          <w:sz w:val="22"/>
          <w:szCs w:val="22"/>
        </w:rPr>
        <w:t xml:space="preserve">Demonstrated knowledge </w:t>
      </w:r>
      <w:r w:rsidR="00FC00E4">
        <w:rPr>
          <w:bCs/>
          <w:sz w:val="22"/>
          <w:szCs w:val="22"/>
        </w:rPr>
        <w:t>of gender int</w:t>
      </w:r>
      <w:r w:rsidR="002274C3">
        <w:rPr>
          <w:bCs/>
          <w:sz w:val="22"/>
          <w:szCs w:val="22"/>
        </w:rPr>
        <w:t>egration</w:t>
      </w:r>
      <w:r>
        <w:rPr>
          <w:bCs/>
          <w:sz w:val="22"/>
          <w:szCs w:val="22"/>
        </w:rPr>
        <w:t xml:space="preserve"> in one or more of the</w:t>
      </w:r>
      <w:r w:rsidR="002274C3">
        <w:rPr>
          <w:bCs/>
          <w:sz w:val="22"/>
          <w:szCs w:val="22"/>
        </w:rPr>
        <w:t xml:space="preserve"> key </w:t>
      </w:r>
      <w:r w:rsidR="00FC00E4">
        <w:rPr>
          <w:bCs/>
          <w:sz w:val="22"/>
          <w:szCs w:val="22"/>
        </w:rPr>
        <w:t>areas of food assistance programming including agriculture, natural resource management, nutrition, water and sanitation, and disaster risk reduction.</w:t>
      </w:r>
    </w:p>
    <w:p w:rsidR="00FC00E4" w:rsidRPr="00CC3DD2" w:rsidRDefault="00FC00E4" w:rsidP="00FC00E4">
      <w:pPr>
        <w:pStyle w:val="ListParagraph"/>
        <w:ind w:left="1080"/>
        <w:rPr>
          <w:sz w:val="22"/>
          <w:szCs w:val="22"/>
        </w:rPr>
      </w:pPr>
    </w:p>
    <w:p w:rsidR="008D241F" w:rsidRDefault="008D241F" w:rsidP="008D241F">
      <w:pPr>
        <w:pStyle w:val="ListParagraph"/>
        <w:numPr>
          <w:ilvl w:val="0"/>
          <w:numId w:val="8"/>
        </w:numPr>
        <w:rPr>
          <w:sz w:val="22"/>
          <w:szCs w:val="22"/>
        </w:rPr>
      </w:pPr>
      <w:r>
        <w:rPr>
          <w:sz w:val="22"/>
          <w:szCs w:val="22"/>
        </w:rPr>
        <w:t>Ge</w:t>
      </w:r>
      <w:r w:rsidR="00212C2C">
        <w:rPr>
          <w:sz w:val="22"/>
          <w:szCs w:val="22"/>
        </w:rPr>
        <w:t>nder Training</w:t>
      </w:r>
    </w:p>
    <w:p w:rsidR="00BA1EE3" w:rsidRDefault="002274C3" w:rsidP="00BA1EE3">
      <w:pPr>
        <w:pStyle w:val="ListParagraph"/>
        <w:numPr>
          <w:ilvl w:val="1"/>
          <w:numId w:val="8"/>
        </w:numPr>
        <w:rPr>
          <w:sz w:val="22"/>
          <w:szCs w:val="22"/>
        </w:rPr>
      </w:pPr>
      <w:r>
        <w:rPr>
          <w:sz w:val="22"/>
          <w:szCs w:val="22"/>
        </w:rPr>
        <w:t xml:space="preserve">Design and deliver </w:t>
      </w:r>
      <w:r w:rsidR="00212C2C" w:rsidRPr="00BF114B">
        <w:rPr>
          <w:i/>
          <w:sz w:val="22"/>
          <w:szCs w:val="22"/>
        </w:rPr>
        <w:t>context-specific</w:t>
      </w:r>
      <w:r w:rsidR="00212C2C">
        <w:rPr>
          <w:sz w:val="22"/>
          <w:szCs w:val="22"/>
        </w:rPr>
        <w:t xml:space="preserve"> training</w:t>
      </w:r>
      <w:r w:rsidR="00A01DEB">
        <w:rPr>
          <w:sz w:val="22"/>
          <w:szCs w:val="22"/>
        </w:rPr>
        <w:t>s</w:t>
      </w:r>
      <w:r w:rsidR="00212C2C">
        <w:rPr>
          <w:sz w:val="22"/>
          <w:szCs w:val="22"/>
        </w:rPr>
        <w:t xml:space="preserve"> on o</w:t>
      </w:r>
      <w:r w:rsidR="00212C2C" w:rsidRPr="00212C2C">
        <w:rPr>
          <w:sz w:val="22"/>
          <w:szCs w:val="22"/>
        </w:rPr>
        <w:t>rganizational gender polici</w:t>
      </w:r>
      <w:r w:rsidR="00212C2C">
        <w:rPr>
          <w:sz w:val="22"/>
          <w:szCs w:val="22"/>
        </w:rPr>
        <w:t>es and relevance of gender to programmatic components.</w:t>
      </w:r>
    </w:p>
    <w:p w:rsidR="00BA1EE3" w:rsidRDefault="002274C3" w:rsidP="00BA1EE3">
      <w:pPr>
        <w:pStyle w:val="ListParagraph"/>
        <w:numPr>
          <w:ilvl w:val="1"/>
          <w:numId w:val="8"/>
        </w:numPr>
        <w:rPr>
          <w:sz w:val="22"/>
          <w:szCs w:val="22"/>
        </w:rPr>
      </w:pPr>
      <w:r w:rsidRPr="00BA1EE3">
        <w:rPr>
          <w:sz w:val="22"/>
          <w:szCs w:val="22"/>
        </w:rPr>
        <w:t xml:space="preserve">Work with </w:t>
      </w:r>
      <w:r w:rsidR="008F2620" w:rsidRPr="00BA1EE3">
        <w:rPr>
          <w:sz w:val="22"/>
          <w:szCs w:val="22"/>
        </w:rPr>
        <w:t xml:space="preserve">sector-specific </w:t>
      </w:r>
      <w:r w:rsidRPr="00BA1EE3">
        <w:rPr>
          <w:sz w:val="22"/>
          <w:szCs w:val="22"/>
        </w:rPr>
        <w:t xml:space="preserve">technical staff </w:t>
      </w:r>
      <w:r w:rsidR="008F2620" w:rsidRPr="00BA1EE3">
        <w:rPr>
          <w:sz w:val="22"/>
          <w:szCs w:val="22"/>
        </w:rPr>
        <w:t xml:space="preserve">(agriculture, nutrition, DRR, </w:t>
      </w:r>
      <w:proofErr w:type="spellStart"/>
      <w:r w:rsidR="008F2620" w:rsidRPr="00BA1EE3">
        <w:rPr>
          <w:sz w:val="22"/>
          <w:szCs w:val="22"/>
        </w:rPr>
        <w:t>etc</w:t>
      </w:r>
      <w:proofErr w:type="spellEnd"/>
      <w:r w:rsidR="008F2620" w:rsidRPr="00BA1EE3">
        <w:rPr>
          <w:sz w:val="22"/>
          <w:szCs w:val="22"/>
        </w:rPr>
        <w:t xml:space="preserve">) </w:t>
      </w:r>
      <w:r w:rsidRPr="00BA1EE3">
        <w:rPr>
          <w:sz w:val="22"/>
          <w:szCs w:val="22"/>
        </w:rPr>
        <w:t>to develop</w:t>
      </w:r>
      <w:r w:rsidR="00647D1F" w:rsidRPr="00BA1EE3">
        <w:rPr>
          <w:sz w:val="22"/>
          <w:szCs w:val="22"/>
        </w:rPr>
        <w:t xml:space="preserve"> </w:t>
      </w:r>
      <w:r w:rsidRPr="00BA1EE3">
        <w:rPr>
          <w:sz w:val="22"/>
          <w:szCs w:val="22"/>
        </w:rPr>
        <w:t>formal trainings and informal sessions with a gender lens</w:t>
      </w:r>
      <w:r w:rsidR="00647D1F" w:rsidRPr="00BA1EE3">
        <w:rPr>
          <w:sz w:val="22"/>
          <w:szCs w:val="22"/>
        </w:rPr>
        <w:t xml:space="preserve"> utilizing new or existing resources</w:t>
      </w:r>
      <w:r w:rsidR="00BF114B" w:rsidRPr="00BA1EE3">
        <w:rPr>
          <w:sz w:val="22"/>
          <w:szCs w:val="22"/>
        </w:rPr>
        <w:t>.</w:t>
      </w:r>
    </w:p>
    <w:p w:rsidR="00BA1EE3" w:rsidRDefault="00BF114B" w:rsidP="00BA1EE3">
      <w:pPr>
        <w:pStyle w:val="ListParagraph"/>
        <w:numPr>
          <w:ilvl w:val="1"/>
          <w:numId w:val="8"/>
        </w:numPr>
        <w:rPr>
          <w:sz w:val="22"/>
          <w:szCs w:val="22"/>
        </w:rPr>
      </w:pPr>
      <w:r w:rsidRPr="00BA1EE3">
        <w:rPr>
          <w:sz w:val="22"/>
          <w:szCs w:val="22"/>
        </w:rPr>
        <w:t>T</w:t>
      </w:r>
      <w:r w:rsidR="008F2620" w:rsidRPr="00BA1EE3">
        <w:rPr>
          <w:sz w:val="22"/>
          <w:szCs w:val="22"/>
        </w:rPr>
        <w:t>rain staff on the delivery of gender-specific topics with particular emphasis on addressing sensitive issues (i.e. GBV).</w:t>
      </w:r>
    </w:p>
    <w:p w:rsidR="00212C2C" w:rsidRPr="00BA1EE3" w:rsidRDefault="008F2620" w:rsidP="00BA1EE3">
      <w:pPr>
        <w:pStyle w:val="ListParagraph"/>
        <w:numPr>
          <w:ilvl w:val="1"/>
          <w:numId w:val="8"/>
        </w:numPr>
        <w:rPr>
          <w:sz w:val="22"/>
          <w:szCs w:val="22"/>
        </w:rPr>
      </w:pPr>
      <w:r w:rsidRPr="00BA1EE3">
        <w:rPr>
          <w:sz w:val="22"/>
          <w:szCs w:val="22"/>
        </w:rPr>
        <w:t xml:space="preserve">Identify </w:t>
      </w:r>
      <w:r w:rsidR="00BF114B" w:rsidRPr="00BA1EE3">
        <w:rPr>
          <w:sz w:val="22"/>
          <w:szCs w:val="22"/>
        </w:rPr>
        <w:t xml:space="preserve">and train </w:t>
      </w:r>
      <w:r w:rsidRPr="00BA1EE3">
        <w:rPr>
          <w:sz w:val="22"/>
          <w:szCs w:val="22"/>
        </w:rPr>
        <w:t xml:space="preserve">a cadre of staff to </w:t>
      </w:r>
      <w:r w:rsidR="00BF114B" w:rsidRPr="00BA1EE3">
        <w:rPr>
          <w:sz w:val="22"/>
          <w:szCs w:val="22"/>
        </w:rPr>
        <w:t>serve</w:t>
      </w:r>
      <w:r w:rsidRPr="00BA1EE3">
        <w:rPr>
          <w:sz w:val="22"/>
          <w:szCs w:val="22"/>
        </w:rPr>
        <w:t xml:space="preserve"> as trainers.  This could include other gender staff or specialists/managers within the program interested in becoming a trainer on gender integration.</w:t>
      </w:r>
    </w:p>
    <w:p w:rsidR="008F2620" w:rsidRPr="008F2620" w:rsidRDefault="008F2620" w:rsidP="00BF114B">
      <w:pPr>
        <w:pStyle w:val="ListParagraph"/>
        <w:rPr>
          <w:sz w:val="22"/>
          <w:szCs w:val="22"/>
        </w:rPr>
      </w:pPr>
    </w:p>
    <w:p w:rsidR="008D241F" w:rsidRDefault="008D241F" w:rsidP="008D241F">
      <w:pPr>
        <w:pStyle w:val="ListParagraph"/>
        <w:numPr>
          <w:ilvl w:val="0"/>
          <w:numId w:val="8"/>
        </w:numPr>
        <w:rPr>
          <w:sz w:val="22"/>
          <w:szCs w:val="22"/>
        </w:rPr>
      </w:pPr>
      <w:r>
        <w:rPr>
          <w:sz w:val="22"/>
          <w:szCs w:val="22"/>
        </w:rPr>
        <w:t>Gender Analysis</w:t>
      </w:r>
    </w:p>
    <w:p w:rsidR="000235C0" w:rsidRDefault="000235C0" w:rsidP="000235C0">
      <w:pPr>
        <w:pStyle w:val="ListParagraph"/>
        <w:numPr>
          <w:ilvl w:val="1"/>
          <w:numId w:val="8"/>
        </w:numPr>
        <w:rPr>
          <w:sz w:val="22"/>
          <w:szCs w:val="22"/>
        </w:rPr>
      </w:pPr>
      <w:r>
        <w:rPr>
          <w:sz w:val="22"/>
          <w:szCs w:val="22"/>
        </w:rPr>
        <w:t xml:space="preserve">Serve as the key point of contact for the consultant conducting the formal gender analysis.  </w:t>
      </w:r>
      <w:r w:rsidR="00EB01B6">
        <w:rPr>
          <w:sz w:val="22"/>
          <w:szCs w:val="22"/>
        </w:rPr>
        <w:t>T</w:t>
      </w:r>
      <w:r>
        <w:rPr>
          <w:sz w:val="22"/>
          <w:szCs w:val="22"/>
        </w:rPr>
        <w:t>he gender advisor may support the following activities:</w:t>
      </w:r>
    </w:p>
    <w:p w:rsidR="00EB01B6" w:rsidRDefault="00EB01B6" w:rsidP="000235C0">
      <w:pPr>
        <w:pStyle w:val="ListParagraph"/>
        <w:numPr>
          <w:ilvl w:val="2"/>
          <w:numId w:val="8"/>
        </w:numPr>
        <w:rPr>
          <w:sz w:val="22"/>
          <w:szCs w:val="22"/>
        </w:rPr>
      </w:pPr>
      <w:r>
        <w:rPr>
          <w:sz w:val="22"/>
          <w:szCs w:val="22"/>
        </w:rPr>
        <w:t>Develop the Scope of Work for the gender analysis activities.</w:t>
      </w:r>
    </w:p>
    <w:p w:rsidR="000235C0" w:rsidRDefault="000235C0" w:rsidP="000235C0">
      <w:pPr>
        <w:pStyle w:val="ListParagraph"/>
        <w:numPr>
          <w:ilvl w:val="2"/>
          <w:numId w:val="8"/>
        </w:numPr>
        <w:rPr>
          <w:sz w:val="22"/>
          <w:szCs w:val="22"/>
        </w:rPr>
      </w:pPr>
      <w:r>
        <w:rPr>
          <w:sz w:val="22"/>
          <w:szCs w:val="22"/>
        </w:rPr>
        <w:t>Provide primary and secondary data to the consultant for review.</w:t>
      </w:r>
    </w:p>
    <w:p w:rsidR="000235C0" w:rsidRDefault="000235C0" w:rsidP="000235C0">
      <w:pPr>
        <w:pStyle w:val="ListParagraph"/>
        <w:numPr>
          <w:ilvl w:val="2"/>
          <w:numId w:val="8"/>
        </w:numPr>
        <w:rPr>
          <w:sz w:val="22"/>
          <w:szCs w:val="22"/>
        </w:rPr>
      </w:pPr>
      <w:r>
        <w:rPr>
          <w:sz w:val="22"/>
          <w:szCs w:val="22"/>
        </w:rPr>
        <w:t>Identify key stakeholders and areas for qualitative and quantitative data collection.</w:t>
      </w:r>
    </w:p>
    <w:p w:rsidR="000235C0" w:rsidRDefault="000235C0" w:rsidP="000235C0">
      <w:pPr>
        <w:pStyle w:val="ListParagraph"/>
        <w:numPr>
          <w:ilvl w:val="2"/>
          <w:numId w:val="8"/>
        </w:numPr>
        <w:rPr>
          <w:sz w:val="22"/>
          <w:szCs w:val="22"/>
        </w:rPr>
      </w:pPr>
      <w:r>
        <w:rPr>
          <w:sz w:val="22"/>
          <w:szCs w:val="22"/>
        </w:rPr>
        <w:t>Serve as the key point of contact and arrange logistics for interviews, focus groups, and other data collection exercises.</w:t>
      </w:r>
    </w:p>
    <w:p w:rsidR="000235C0" w:rsidRDefault="00150E55" w:rsidP="000235C0">
      <w:pPr>
        <w:pStyle w:val="ListParagraph"/>
        <w:numPr>
          <w:ilvl w:val="2"/>
          <w:numId w:val="8"/>
        </w:numPr>
        <w:rPr>
          <w:sz w:val="22"/>
          <w:szCs w:val="22"/>
        </w:rPr>
      </w:pPr>
      <w:r>
        <w:rPr>
          <w:sz w:val="22"/>
          <w:szCs w:val="22"/>
        </w:rPr>
        <w:lastRenderedPageBreak/>
        <w:t>Assist with data collection activities such as conducting interviews, leading focus groups, or conducting surveys.</w:t>
      </w:r>
    </w:p>
    <w:p w:rsidR="00150E55" w:rsidRDefault="00150E55" w:rsidP="000235C0">
      <w:pPr>
        <w:pStyle w:val="ListParagraph"/>
        <w:numPr>
          <w:ilvl w:val="2"/>
          <w:numId w:val="8"/>
        </w:numPr>
        <w:rPr>
          <w:sz w:val="22"/>
          <w:szCs w:val="22"/>
        </w:rPr>
      </w:pPr>
      <w:r>
        <w:rPr>
          <w:sz w:val="22"/>
          <w:szCs w:val="22"/>
        </w:rPr>
        <w:t>Provide assistance with the interpretation of data.</w:t>
      </w:r>
    </w:p>
    <w:p w:rsidR="00150E55" w:rsidRDefault="00150E55" w:rsidP="000235C0">
      <w:pPr>
        <w:pStyle w:val="ListParagraph"/>
        <w:numPr>
          <w:ilvl w:val="2"/>
          <w:numId w:val="8"/>
        </w:numPr>
        <w:rPr>
          <w:sz w:val="22"/>
          <w:szCs w:val="22"/>
        </w:rPr>
      </w:pPr>
      <w:r>
        <w:rPr>
          <w:sz w:val="22"/>
          <w:szCs w:val="22"/>
        </w:rPr>
        <w:t>Review and provide feedback on draft copies of the gender analysis.</w:t>
      </w:r>
    </w:p>
    <w:p w:rsidR="00150E55" w:rsidRDefault="00150E55" w:rsidP="00150E55">
      <w:pPr>
        <w:pStyle w:val="ListParagraph"/>
        <w:ind w:left="1800"/>
        <w:rPr>
          <w:sz w:val="22"/>
          <w:szCs w:val="22"/>
        </w:rPr>
      </w:pPr>
    </w:p>
    <w:p w:rsidR="008D241F" w:rsidRDefault="008D241F" w:rsidP="008D241F">
      <w:pPr>
        <w:pStyle w:val="ListParagraph"/>
        <w:numPr>
          <w:ilvl w:val="0"/>
          <w:numId w:val="8"/>
        </w:numPr>
        <w:rPr>
          <w:sz w:val="22"/>
          <w:szCs w:val="22"/>
        </w:rPr>
      </w:pPr>
      <w:r>
        <w:rPr>
          <w:sz w:val="22"/>
          <w:szCs w:val="22"/>
        </w:rPr>
        <w:t>Implementation of Gender Strategies and Activities</w:t>
      </w:r>
    </w:p>
    <w:p w:rsidR="005939D6" w:rsidRDefault="005939D6" w:rsidP="005939D6">
      <w:pPr>
        <w:pStyle w:val="ListParagraph"/>
        <w:numPr>
          <w:ilvl w:val="1"/>
          <w:numId w:val="8"/>
        </w:numPr>
        <w:rPr>
          <w:sz w:val="22"/>
          <w:szCs w:val="22"/>
        </w:rPr>
      </w:pPr>
      <w:r>
        <w:rPr>
          <w:sz w:val="22"/>
          <w:szCs w:val="22"/>
        </w:rPr>
        <w:t>Advise</w:t>
      </w:r>
      <w:r w:rsidR="00A01DEB">
        <w:rPr>
          <w:sz w:val="22"/>
          <w:szCs w:val="22"/>
        </w:rPr>
        <w:t xml:space="preserve"> on</w:t>
      </w:r>
      <w:r>
        <w:rPr>
          <w:sz w:val="22"/>
          <w:szCs w:val="22"/>
        </w:rPr>
        <w:t xml:space="preserve"> and revise proposed strategies and activities during program start-up</w:t>
      </w:r>
      <w:r w:rsidR="00B41C1F">
        <w:rPr>
          <w:sz w:val="22"/>
          <w:szCs w:val="22"/>
        </w:rPr>
        <w:t>, including budget implications.</w:t>
      </w:r>
    </w:p>
    <w:p w:rsidR="005939D6" w:rsidRDefault="005939D6" w:rsidP="005939D6">
      <w:pPr>
        <w:pStyle w:val="ListParagraph"/>
        <w:numPr>
          <w:ilvl w:val="1"/>
          <w:numId w:val="8"/>
        </w:numPr>
        <w:rPr>
          <w:sz w:val="22"/>
          <w:szCs w:val="22"/>
        </w:rPr>
      </w:pPr>
      <w:r>
        <w:rPr>
          <w:sz w:val="22"/>
          <w:szCs w:val="22"/>
        </w:rPr>
        <w:t>Actively engage in developing an action plan to incorporate recommendations from the gender analysis.</w:t>
      </w:r>
    </w:p>
    <w:p w:rsidR="005939D6" w:rsidRDefault="005939D6" w:rsidP="005939D6">
      <w:pPr>
        <w:pStyle w:val="ListParagraph"/>
        <w:numPr>
          <w:ilvl w:val="1"/>
          <w:numId w:val="8"/>
        </w:numPr>
        <w:rPr>
          <w:sz w:val="22"/>
          <w:szCs w:val="22"/>
        </w:rPr>
      </w:pPr>
      <w:r>
        <w:rPr>
          <w:sz w:val="22"/>
          <w:szCs w:val="22"/>
        </w:rPr>
        <w:t>Based on formal and informal feedback, update strategies to address key gender targets.</w:t>
      </w:r>
    </w:p>
    <w:p w:rsidR="00BF114B" w:rsidRDefault="00BF114B" w:rsidP="00BF114B">
      <w:pPr>
        <w:pStyle w:val="ListParagraph"/>
        <w:numPr>
          <w:ilvl w:val="1"/>
          <w:numId w:val="8"/>
        </w:numPr>
        <w:rPr>
          <w:sz w:val="22"/>
          <w:szCs w:val="22"/>
        </w:rPr>
      </w:pPr>
      <w:r>
        <w:rPr>
          <w:sz w:val="22"/>
          <w:szCs w:val="22"/>
        </w:rPr>
        <w:t>Identify and adapt to the local context existing gender resources and tools to support gender integration within the program and activities.</w:t>
      </w:r>
    </w:p>
    <w:p w:rsidR="00BF114B" w:rsidRPr="00BF114B" w:rsidRDefault="00BF114B" w:rsidP="00BF114B">
      <w:pPr>
        <w:pStyle w:val="ListParagraph"/>
        <w:numPr>
          <w:ilvl w:val="1"/>
          <w:numId w:val="8"/>
        </w:numPr>
        <w:rPr>
          <w:sz w:val="22"/>
          <w:szCs w:val="22"/>
        </w:rPr>
      </w:pPr>
      <w:r>
        <w:rPr>
          <w:sz w:val="22"/>
          <w:szCs w:val="22"/>
        </w:rPr>
        <w:t>Coordinate with key program staff, including managers and technical specialists, to ensure the implementation of gender strategies and gender integration into program activities.</w:t>
      </w:r>
    </w:p>
    <w:p w:rsidR="00EB01B6" w:rsidRDefault="00EB01B6" w:rsidP="005939D6">
      <w:pPr>
        <w:pStyle w:val="ListParagraph"/>
        <w:numPr>
          <w:ilvl w:val="1"/>
          <w:numId w:val="8"/>
        </w:numPr>
        <w:rPr>
          <w:sz w:val="22"/>
          <w:szCs w:val="22"/>
        </w:rPr>
      </w:pPr>
      <w:r>
        <w:rPr>
          <w:sz w:val="22"/>
          <w:szCs w:val="22"/>
        </w:rPr>
        <w:t>Foster internal and external relationships for coordination and collaboration.  This includes, but is not limited to, program partners and organizations doing similar work</w:t>
      </w:r>
      <w:r w:rsidR="00B40728">
        <w:rPr>
          <w:sz w:val="22"/>
          <w:szCs w:val="22"/>
        </w:rPr>
        <w:t>,</w:t>
      </w:r>
      <w:bookmarkStart w:id="0" w:name="_GoBack"/>
      <w:bookmarkEnd w:id="0"/>
      <w:r>
        <w:rPr>
          <w:sz w:val="22"/>
          <w:szCs w:val="22"/>
        </w:rPr>
        <w:t xml:space="preserve"> including governmental entities.</w:t>
      </w:r>
    </w:p>
    <w:p w:rsidR="005939D6" w:rsidRDefault="005939D6" w:rsidP="005939D6">
      <w:pPr>
        <w:pStyle w:val="ListParagraph"/>
        <w:ind w:left="1080"/>
        <w:rPr>
          <w:sz w:val="22"/>
          <w:szCs w:val="22"/>
        </w:rPr>
      </w:pPr>
    </w:p>
    <w:p w:rsidR="008D241F" w:rsidRDefault="008D241F" w:rsidP="008D241F">
      <w:pPr>
        <w:pStyle w:val="ListParagraph"/>
        <w:numPr>
          <w:ilvl w:val="0"/>
          <w:numId w:val="8"/>
        </w:numPr>
        <w:rPr>
          <w:sz w:val="22"/>
          <w:szCs w:val="22"/>
        </w:rPr>
      </w:pPr>
      <w:r>
        <w:rPr>
          <w:sz w:val="22"/>
          <w:szCs w:val="22"/>
        </w:rPr>
        <w:t>M&amp;E and Reporting</w:t>
      </w:r>
    </w:p>
    <w:p w:rsidR="00063225" w:rsidRPr="00EB01B6" w:rsidRDefault="00BF114B" w:rsidP="00063225">
      <w:pPr>
        <w:pStyle w:val="ListParagraph"/>
        <w:numPr>
          <w:ilvl w:val="1"/>
          <w:numId w:val="8"/>
        </w:numPr>
        <w:rPr>
          <w:sz w:val="22"/>
          <w:szCs w:val="22"/>
        </w:rPr>
      </w:pPr>
      <w:r>
        <w:rPr>
          <w:sz w:val="22"/>
          <w:szCs w:val="22"/>
        </w:rPr>
        <w:t>Actively support</w:t>
      </w:r>
      <w:r w:rsidR="00ED1F57" w:rsidRPr="00EB01B6">
        <w:rPr>
          <w:sz w:val="22"/>
          <w:szCs w:val="22"/>
        </w:rPr>
        <w:t xml:space="preserve"> the design of M&amp;E tools for gender indicators and monitoring for negative impacts.</w:t>
      </w:r>
    </w:p>
    <w:p w:rsidR="00CA190B" w:rsidRPr="00EB01B6" w:rsidRDefault="00BF114B" w:rsidP="00063225">
      <w:pPr>
        <w:pStyle w:val="ListParagraph"/>
        <w:numPr>
          <w:ilvl w:val="1"/>
          <w:numId w:val="8"/>
        </w:numPr>
        <w:rPr>
          <w:sz w:val="22"/>
          <w:szCs w:val="22"/>
        </w:rPr>
      </w:pPr>
      <w:r>
        <w:rPr>
          <w:sz w:val="22"/>
          <w:szCs w:val="22"/>
        </w:rPr>
        <w:t>Guide</w:t>
      </w:r>
      <w:r w:rsidR="00CA190B" w:rsidRPr="00EB01B6">
        <w:rPr>
          <w:sz w:val="22"/>
          <w:szCs w:val="22"/>
        </w:rPr>
        <w:t xml:space="preserve"> the collection of M&amp;E data.</w:t>
      </w:r>
    </w:p>
    <w:p w:rsidR="00CA190B" w:rsidRPr="009B0A58" w:rsidRDefault="00EB01B6" w:rsidP="009B0A58">
      <w:pPr>
        <w:pStyle w:val="ListParagraph"/>
        <w:numPr>
          <w:ilvl w:val="1"/>
          <w:numId w:val="8"/>
        </w:numPr>
        <w:spacing w:after="200"/>
        <w:rPr>
          <w:sz w:val="22"/>
          <w:szCs w:val="22"/>
        </w:rPr>
      </w:pPr>
      <w:r w:rsidRPr="00BF114B">
        <w:rPr>
          <w:color w:val="000000"/>
          <w:sz w:val="22"/>
          <w:szCs w:val="22"/>
        </w:rPr>
        <w:t>Interpret results and present findings, recommendations, lessons learned and best practices to colleagues to further learning through communities of practice, online communities, webinars, conference presentations, training sessions and other knowledge sharing mechanisms.</w:t>
      </w:r>
    </w:p>
    <w:p w:rsidR="00CA190B" w:rsidRDefault="009B0A58" w:rsidP="00063225">
      <w:pPr>
        <w:pStyle w:val="ListParagraph"/>
        <w:numPr>
          <w:ilvl w:val="1"/>
          <w:numId w:val="8"/>
        </w:numPr>
        <w:rPr>
          <w:sz w:val="22"/>
          <w:szCs w:val="22"/>
        </w:rPr>
      </w:pPr>
      <w:r>
        <w:rPr>
          <w:sz w:val="22"/>
          <w:szCs w:val="22"/>
        </w:rPr>
        <w:t>Use</w:t>
      </w:r>
      <w:r w:rsidR="00CA190B">
        <w:rPr>
          <w:sz w:val="22"/>
          <w:szCs w:val="22"/>
        </w:rPr>
        <w:t xml:space="preserve"> data to modify activities or mitigate negative impacts.</w:t>
      </w:r>
    </w:p>
    <w:p w:rsidR="00EB01B6" w:rsidRPr="009B0A58" w:rsidRDefault="009B0A58" w:rsidP="009B0A58">
      <w:pPr>
        <w:pStyle w:val="ListParagraph"/>
        <w:numPr>
          <w:ilvl w:val="1"/>
          <w:numId w:val="8"/>
        </w:numPr>
        <w:rPr>
          <w:sz w:val="22"/>
          <w:szCs w:val="22"/>
        </w:rPr>
      </w:pPr>
      <w:r>
        <w:rPr>
          <w:sz w:val="22"/>
          <w:szCs w:val="22"/>
        </w:rPr>
        <w:t>Review</w:t>
      </w:r>
      <w:r w:rsidR="00CA190B">
        <w:rPr>
          <w:sz w:val="22"/>
          <w:szCs w:val="22"/>
        </w:rPr>
        <w:t xml:space="preserve"> reports to the donor and provides gendered </w:t>
      </w:r>
      <w:r>
        <w:rPr>
          <w:sz w:val="22"/>
          <w:szCs w:val="22"/>
        </w:rPr>
        <w:t xml:space="preserve">data and </w:t>
      </w:r>
      <w:r w:rsidR="00CA190B">
        <w:rPr>
          <w:sz w:val="22"/>
          <w:szCs w:val="22"/>
        </w:rPr>
        <w:t>language where needed.</w:t>
      </w:r>
    </w:p>
    <w:p w:rsidR="00B44200" w:rsidRDefault="00B44200" w:rsidP="006F2F0D">
      <w:pPr>
        <w:rPr>
          <w:b/>
          <w:i/>
          <w:sz w:val="22"/>
          <w:szCs w:val="22"/>
        </w:rPr>
      </w:pPr>
    </w:p>
    <w:p w:rsidR="0074598A" w:rsidRDefault="00ED1F57" w:rsidP="006F2F0D">
      <w:pPr>
        <w:rPr>
          <w:b/>
          <w:i/>
          <w:sz w:val="22"/>
          <w:szCs w:val="22"/>
        </w:rPr>
      </w:pPr>
      <w:r>
        <w:rPr>
          <w:b/>
          <w:i/>
          <w:sz w:val="22"/>
          <w:szCs w:val="22"/>
        </w:rPr>
        <w:t>Notes on</w:t>
      </w:r>
      <w:r w:rsidR="0074598A">
        <w:rPr>
          <w:b/>
          <w:i/>
          <w:sz w:val="22"/>
          <w:szCs w:val="22"/>
        </w:rPr>
        <w:t xml:space="preserve"> Program Implementation</w:t>
      </w:r>
    </w:p>
    <w:p w:rsidR="00ED1F57" w:rsidRDefault="00ED1F57" w:rsidP="006F2F0D">
      <w:pPr>
        <w:rPr>
          <w:sz w:val="22"/>
          <w:szCs w:val="22"/>
        </w:rPr>
      </w:pPr>
    </w:p>
    <w:p w:rsidR="00ED1F57" w:rsidRDefault="00ED1F57" w:rsidP="006F2F0D">
      <w:pPr>
        <w:rPr>
          <w:sz w:val="22"/>
          <w:szCs w:val="22"/>
        </w:rPr>
      </w:pPr>
      <w:r>
        <w:rPr>
          <w:sz w:val="22"/>
          <w:szCs w:val="22"/>
        </w:rPr>
        <w:t>Gender is often presented as a cross-cutting issue within development food assistance programs.  Senior management should be held responsible for ensuring the following occurs prior to and during the implementation of a program.</w:t>
      </w:r>
    </w:p>
    <w:p w:rsidR="00ED1F57" w:rsidRPr="00ED1F57" w:rsidRDefault="00ED1F57" w:rsidP="006F2F0D">
      <w:pPr>
        <w:rPr>
          <w:sz w:val="22"/>
          <w:szCs w:val="22"/>
        </w:rPr>
      </w:pPr>
    </w:p>
    <w:p w:rsidR="00B7242E" w:rsidRPr="00EF3C22" w:rsidRDefault="0074598A" w:rsidP="00EF3C22">
      <w:pPr>
        <w:pStyle w:val="ListParagraph"/>
        <w:numPr>
          <w:ilvl w:val="0"/>
          <w:numId w:val="5"/>
        </w:numPr>
        <w:rPr>
          <w:sz w:val="22"/>
          <w:szCs w:val="22"/>
        </w:rPr>
      </w:pPr>
      <w:proofErr w:type="gramStart"/>
      <w:r>
        <w:rPr>
          <w:sz w:val="22"/>
          <w:szCs w:val="22"/>
        </w:rPr>
        <w:t>Staff are</w:t>
      </w:r>
      <w:proofErr w:type="gramEnd"/>
      <w:r>
        <w:rPr>
          <w:sz w:val="22"/>
          <w:szCs w:val="22"/>
        </w:rPr>
        <w:t xml:space="preserve"> </w:t>
      </w:r>
      <w:r w:rsidRPr="00ED1F57">
        <w:rPr>
          <w:sz w:val="22"/>
          <w:szCs w:val="22"/>
        </w:rPr>
        <w:t>held accountable for their role in promoting gender equitable opportunities</w:t>
      </w:r>
      <w:r w:rsidR="00ED1F57">
        <w:rPr>
          <w:sz w:val="22"/>
          <w:szCs w:val="22"/>
        </w:rPr>
        <w:t xml:space="preserve"> and identifying and reporting potentially harmful strategies and activities</w:t>
      </w:r>
      <w:r>
        <w:rPr>
          <w:sz w:val="22"/>
          <w:szCs w:val="22"/>
        </w:rPr>
        <w:t>.  This accountability should be outlined in job descriptions and measured in annual performance evaluations.</w:t>
      </w:r>
      <w:r w:rsidR="00EF3C22">
        <w:rPr>
          <w:sz w:val="22"/>
          <w:szCs w:val="22"/>
        </w:rPr>
        <w:t xml:space="preserve">  </w:t>
      </w:r>
      <w:r w:rsidR="009B0A58">
        <w:rPr>
          <w:b/>
          <w:i/>
          <w:sz w:val="22"/>
          <w:szCs w:val="22"/>
        </w:rPr>
        <w:t xml:space="preserve">Buy-in from staff on the benefit of acknowledging and reacting to gendered needs is </w:t>
      </w:r>
      <w:proofErr w:type="gramStart"/>
      <w:r w:rsidR="009B0A58">
        <w:rPr>
          <w:b/>
          <w:i/>
          <w:sz w:val="22"/>
          <w:szCs w:val="22"/>
        </w:rPr>
        <w:t>key</w:t>
      </w:r>
      <w:proofErr w:type="gramEnd"/>
      <w:r w:rsidR="00B7242E" w:rsidRPr="00ED1F57">
        <w:rPr>
          <w:b/>
          <w:i/>
          <w:sz w:val="22"/>
          <w:szCs w:val="22"/>
        </w:rPr>
        <w:t xml:space="preserve"> to achieving this </w:t>
      </w:r>
      <w:r w:rsidR="009B0A58">
        <w:rPr>
          <w:b/>
          <w:i/>
          <w:sz w:val="22"/>
          <w:szCs w:val="22"/>
        </w:rPr>
        <w:t>shared accountability.</w:t>
      </w:r>
    </w:p>
    <w:p w:rsidR="00B7242E" w:rsidRDefault="00B7242E" w:rsidP="00B7242E">
      <w:pPr>
        <w:pStyle w:val="ListParagraph"/>
        <w:numPr>
          <w:ilvl w:val="0"/>
          <w:numId w:val="5"/>
        </w:numPr>
        <w:rPr>
          <w:sz w:val="22"/>
          <w:szCs w:val="22"/>
        </w:rPr>
      </w:pPr>
      <w:r w:rsidRPr="006F2F0D">
        <w:rPr>
          <w:sz w:val="22"/>
          <w:szCs w:val="22"/>
        </w:rPr>
        <w:t xml:space="preserve">Sex-ratios of personnel </w:t>
      </w:r>
      <w:r>
        <w:rPr>
          <w:sz w:val="22"/>
          <w:szCs w:val="22"/>
        </w:rPr>
        <w:t xml:space="preserve">should be </w:t>
      </w:r>
      <w:r w:rsidRPr="006F2F0D">
        <w:rPr>
          <w:sz w:val="22"/>
          <w:szCs w:val="22"/>
        </w:rPr>
        <w:t xml:space="preserve">determined by the need to reach beneficiaries of different sexes where the sex of the </w:t>
      </w:r>
      <w:proofErr w:type="spellStart"/>
      <w:r w:rsidRPr="006F2F0D">
        <w:rPr>
          <w:sz w:val="22"/>
          <w:szCs w:val="22"/>
        </w:rPr>
        <w:t>extensionist</w:t>
      </w:r>
      <w:proofErr w:type="spellEnd"/>
      <w:r w:rsidRPr="006F2F0D">
        <w:rPr>
          <w:sz w:val="22"/>
          <w:szCs w:val="22"/>
        </w:rPr>
        <w:t xml:space="preserve">, volunteer, or field staff person may be </w:t>
      </w:r>
      <w:r>
        <w:rPr>
          <w:sz w:val="22"/>
          <w:szCs w:val="22"/>
        </w:rPr>
        <w:t xml:space="preserve">crucial </w:t>
      </w:r>
      <w:r w:rsidRPr="006F2F0D">
        <w:rPr>
          <w:sz w:val="22"/>
          <w:szCs w:val="22"/>
        </w:rPr>
        <w:t>to achieving project outcomes (i.e. Health/Nutrition BCC among men, and providing goods, services, or training to</w:t>
      </w:r>
      <w:r>
        <w:rPr>
          <w:sz w:val="22"/>
          <w:szCs w:val="22"/>
        </w:rPr>
        <w:t xml:space="preserve"> women in many Muslim cultures).  </w:t>
      </w:r>
    </w:p>
    <w:p w:rsidR="00B7242E" w:rsidRDefault="00B7242E" w:rsidP="00B7242E">
      <w:pPr>
        <w:pStyle w:val="ListParagraph"/>
        <w:numPr>
          <w:ilvl w:val="1"/>
          <w:numId w:val="5"/>
        </w:numPr>
        <w:spacing w:after="200"/>
        <w:rPr>
          <w:sz w:val="22"/>
          <w:szCs w:val="22"/>
        </w:rPr>
      </w:pPr>
      <w:r w:rsidRPr="00B7242E">
        <w:rPr>
          <w:sz w:val="22"/>
          <w:szCs w:val="22"/>
        </w:rPr>
        <w:t>Consider the importance of soft skills such as communication and relationship-building, that will open the pool of candidates to more women as well as benefit many positions, typically those that are field-based.</w:t>
      </w:r>
    </w:p>
    <w:p w:rsidR="00ED1F57" w:rsidRPr="009B0A58" w:rsidRDefault="00560A39" w:rsidP="009B0A58">
      <w:pPr>
        <w:pStyle w:val="ListParagraph"/>
        <w:numPr>
          <w:ilvl w:val="1"/>
          <w:numId w:val="5"/>
        </w:numPr>
        <w:spacing w:after="200"/>
        <w:contextualSpacing w:val="0"/>
        <w:rPr>
          <w:sz w:val="22"/>
          <w:szCs w:val="22"/>
        </w:rPr>
      </w:pPr>
      <w:r>
        <w:rPr>
          <w:sz w:val="22"/>
          <w:szCs w:val="22"/>
        </w:rPr>
        <w:lastRenderedPageBreak/>
        <w:t xml:space="preserve">Understand </w:t>
      </w:r>
      <w:r w:rsidR="00ED1F57">
        <w:rPr>
          <w:sz w:val="22"/>
          <w:szCs w:val="22"/>
        </w:rPr>
        <w:t xml:space="preserve">that ratios may be unequal due to the availability of qualified people.  </w:t>
      </w:r>
      <w:r w:rsidR="009B0A58">
        <w:rPr>
          <w:sz w:val="22"/>
          <w:szCs w:val="22"/>
        </w:rPr>
        <w:t>Because of differing levels of access and different methods of learning about opportunities or sharing information, ensure that positions are posted where both males and females will access them. Program leadership is also strongly encouraged to mentor and offer capacity building opportunities to those individuals who express interest in pursuing a position usually held by a member of the opposite sex.</w:t>
      </w:r>
    </w:p>
    <w:p w:rsidR="00BA4D3A" w:rsidRPr="00ED1F57" w:rsidRDefault="00BA4D3A" w:rsidP="00ED1F57">
      <w:pPr>
        <w:pStyle w:val="ListParagraph"/>
        <w:numPr>
          <w:ilvl w:val="0"/>
          <w:numId w:val="5"/>
        </w:numPr>
        <w:spacing w:after="200"/>
        <w:contextualSpacing w:val="0"/>
        <w:rPr>
          <w:sz w:val="22"/>
          <w:szCs w:val="22"/>
        </w:rPr>
      </w:pPr>
      <w:r w:rsidRPr="00ED1F57">
        <w:rPr>
          <w:sz w:val="22"/>
          <w:szCs w:val="22"/>
        </w:rPr>
        <w:t>Understand a potential partner’s gender policies and be sure</w:t>
      </w:r>
      <w:r w:rsidR="009B0A58">
        <w:rPr>
          <w:sz w:val="22"/>
          <w:szCs w:val="22"/>
        </w:rPr>
        <w:t xml:space="preserve"> to explain expectations for </w:t>
      </w:r>
      <w:r w:rsidRPr="00ED1F57">
        <w:rPr>
          <w:sz w:val="22"/>
          <w:szCs w:val="22"/>
        </w:rPr>
        <w:t>gender in programming and at an organizatio</w:t>
      </w:r>
      <w:r w:rsidR="009B0A58">
        <w:rPr>
          <w:sz w:val="22"/>
          <w:szCs w:val="22"/>
        </w:rPr>
        <w:t xml:space="preserve">nal level.  Expectations for </w:t>
      </w:r>
      <w:r w:rsidRPr="00ED1F57">
        <w:rPr>
          <w:sz w:val="22"/>
          <w:szCs w:val="22"/>
        </w:rPr>
        <w:t>staff qualifications, training, and monitoring and evaluation of gender should be discuss</w:t>
      </w:r>
      <w:r w:rsidR="009B0A58">
        <w:rPr>
          <w:sz w:val="22"/>
          <w:szCs w:val="22"/>
        </w:rPr>
        <w:t>ed prior to agreeing to partner and expressed in formal commitments.</w:t>
      </w:r>
    </w:p>
    <w:p w:rsidR="000F71E6" w:rsidRPr="00B44200" w:rsidRDefault="000F71E6" w:rsidP="00B44200">
      <w:pPr>
        <w:spacing w:after="200"/>
        <w:rPr>
          <w:sz w:val="22"/>
          <w:szCs w:val="22"/>
        </w:rPr>
      </w:pPr>
    </w:p>
    <w:sectPr w:rsidR="000F71E6" w:rsidRPr="00B44200" w:rsidSect="009F63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F3" w:rsidRDefault="008315F3" w:rsidP="00421A1E">
      <w:r>
        <w:separator/>
      </w:r>
    </w:p>
  </w:endnote>
  <w:endnote w:type="continuationSeparator" w:id="0">
    <w:p w:rsidR="008315F3" w:rsidRDefault="008315F3" w:rsidP="0042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F3" w:rsidRDefault="008315F3" w:rsidP="00421A1E">
      <w:r>
        <w:separator/>
      </w:r>
    </w:p>
  </w:footnote>
  <w:footnote w:type="continuationSeparator" w:id="0">
    <w:p w:rsidR="008315F3" w:rsidRDefault="008315F3" w:rsidP="00421A1E">
      <w:r>
        <w:continuationSeparator/>
      </w:r>
    </w:p>
  </w:footnote>
  <w:footnote w:id="1">
    <w:p w:rsidR="006F2F0D" w:rsidRDefault="006F2F0D" w:rsidP="006F2F0D">
      <w:pPr>
        <w:pStyle w:val="FootnoteText"/>
      </w:pPr>
      <w:r>
        <w:rPr>
          <w:rStyle w:val="FootnoteReference"/>
        </w:rPr>
        <w:footnoteRef/>
      </w:r>
      <w:r>
        <w:t xml:space="preserve"> This is a working document to </w:t>
      </w:r>
      <w:r w:rsidR="008D241F">
        <w:t>be reviewed and</w:t>
      </w:r>
      <w:r>
        <w:t xml:space="preserve"> updated as needed.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455D"/>
    <w:multiLevelType w:val="hybridMultilevel"/>
    <w:tmpl w:val="771C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16C8B"/>
    <w:multiLevelType w:val="hybridMultilevel"/>
    <w:tmpl w:val="0F2A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412ED6"/>
    <w:multiLevelType w:val="hybridMultilevel"/>
    <w:tmpl w:val="262C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A653B"/>
    <w:multiLevelType w:val="hybridMultilevel"/>
    <w:tmpl w:val="B7A4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F727B5"/>
    <w:multiLevelType w:val="hybridMultilevel"/>
    <w:tmpl w:val="FBC8AF9A"/>
    <w:lvl w:ilvl="0" w:tplc="04090001">
      <w:start w:val="1"/>
      <w:numFmt w:val="bullet"/>
      <w:lvlText w:val=""/>
      <w:lvlJc w:val="left"/>
      <w:pPr>
        <w:ind w:left="1440" w:hanging="360"/>
      </w:pPr>
      <w:rPr>
        <w:rFonts w:ascii="Symbol" w:hAnsi="Symbol"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5">
    <w:nsid w:val="7C692AB6"/>
    <w:multiLevelType w:val="hybridMultilevel"/>
    <w:tmpl w:val="76F6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6E687F"/>
    <w:multiLevelType w:val="multilevel"/>
    <w:tmpl w:val="11C87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D3C2B2A"/>
    <w:multiLevelType w:val="hybridMultilevel"/>
    <w:tmpl w:val="6BC6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33"/>
    <w:rsid w:val="0000264F"/>
    <w:rsid w:val="00010B1F"/>
    <w:rsid w:val="000169C3"/>
    <w:rsid w:val="000235C0"/>
    <w:rsid w:val="00062B0C"/>
    <w:rsid w:val="00063225"/>
    <w:rsid w:val="0009232D"/>
    <w:rsid w:val="000A5842"/>
    <w:rsid w:val="000B7BC7"/>
    <w:rsid w:val="000D6A87"/>
    <w:rsid w:val="000F6973"/>
    <w:rsid w:val="000F71E6"/>
    <w:rsid w:val="00150E55"/>
    <w:rsid w:val="00212C2C"/>
    <w:rsid w:val="002274C3"/>
    <w:rsid w:val="002411A5"/>
    <w:rsid w:val="00283DAA"/>
    <w:rsid w:val="002B4A2B"/>
    <w:rsid w:val="002F1634"/>
    <w:rsid w:val="00320458"/>
    <w:rsid w:val="00332192"/>
    <w:rsid w:val="003517AE"/>
    <w:rsid w:val="00376D6E"/>
    <w:rsid w:val="003B204C"/>
    <w:rsid w:val="003D13FA"/>
    <w:rsid w:val="003E75DD"/>
    <w:rsid w:val="00421A1E"/>
    <w:rsid w:val="00450438"/>
    <w:rsid w:val="004D2B39"/>
    <w:rsid w:val="004E1111"/>
    <w:rsid w:val="004F0679"/>
    <w:rsid w:val="00560A39"/>
    <w:rsid w:val="00571ACF"/>
    <w:rsid w:val="0058510E"/>
    <w:rsid w:val="005939D6"/>
    <w:rsid w:val="00595B98"/>
    <w:rsid w:val="005D4F8F"/>
    <w:rsid w:val="005D6BA8"/>
    <w:rsid w:val="005F0E60"/>
    <w:rsid w:val="006313E6"/>
    <w:rsid w:val="00647D1F"/>
    <w:rsid w:val="006A3570"/>
    <w:rsid w:val="006F2F0D"/>
    <w:rsid w:val="0070405B"/>
    <w:rsid w:val="00712446"/>
    <w:rsid w:val="00724BBE"/>
    <w:rsid w:val="00724FB2"/>
    <w:rsid w:val="0074598A"/>
    <w:rsid w:val="00767AA1"/>
    <w:rsid w:val="007900AE"/>
    <w:rsid w:val="007B366A"/>
    <w:rsid w:val="00827735"/>
    <w:rsid w:val="008315F3"/>
    <w:rsid w:val="00837726"/>
    <w:rsid w:val="0084508F"/>
    <w:rsid w:val="00854C86"/>
    <w:rsid w:val="00862EE9"/>
    <w:rsid w:val="0089606B"/>
    <w:rsid w:val="00896857"/>
    <w:rsid w:val="008B0B62"/>
    <w:rsid w:val="008D241F"/>
    <w:rsid w:val="008F2620"/>
    <w:rsid w:val="00913119"/>
    <w:rsid w:val="00985F8B"/>
    <w:rsid w:val="009B0A58"/>
    <w:rsid w:val="009B411F"/>
    <w:rsid w:val="009F6324"/>
    <w:rsid w:val="00A01DEB"/>
    <w:rsid w:val="00A332A2"/>
    <w:rsid w:val="00A5603C"/>
    <w:rsid w:val="00A926CA"/>
    <w:rsid w:val="00AA39B2"/>
    <w:rsid w:val="00AB540D"/>
    <w:rsid w:val="00AC5D80"/>
    <w:rsid w:val="00AE67F0"/>
    <w:rsid w:val="00AF1501"/>
    <w:rsid w:val="00B37089"/>
    <w:rsid w:val="00B40728"/>
    <w:rsid w:val="00B41C1F"/>
    <w:rsid w:val="00B44200"/>
    <w:rsid w:val="00B7242E"/>
    <w:rsid w:val="00B84B78"/>
    <w:rsid w:val="00B92450"/>
    <w:rsid w:val="00BA1EE3"/>
    <w:rsid w:val="00BA4D3A"/>
    <w:rsid w:val="00BB68C3"/>
    <w:rsid w:val="00BE0F02"/>
    <w:rsid w:val="00BE5D3F"/>
    <w:rsid w:val="00BF114B"/>
    <w:rsid w:val="00C43A0B"/>
    <w:rsid w:val="00C933C5"/>
    <w:rsid w:val="00CA190B"/>
    <w:rsid w:val="00CC3DD2"/>
    <w:rsid w:val="00CC4816"/>
    <w:rsid w:val="00CD3063"/>
    <w:rsid w:val="00CD3854"/>
    <w:rsid w:val="00CE3431"/>
    <w:rsid w:val="00CE7856"/>
    <w:rsid w:val="00CF4A3F"/>
    <w:rsid w:val="00D01733"/>
    <w:rsid w:val="00D15088"/>
    <w:rsid w:val="00D753A2"/>
    <w:rsid w:val="00D75C5D"/>
    <w:rsid w:val="00DC1024"/>
    <w:rsid w:val="00DD52BE"/>
    <w:rsid w:val="00DE5520"/>
    <w:rsid w:val="00E27775"/>
    <w:rsid w:val="00E47785"/>
    <w:rsid w:val="00EA5028"/>
    <w:rsid w:val="00EB01B6"/>
    <w:rsid w:val="00ED1F57"/>
    <w:rsid w:val="00ED6B7A"/>
    <w:rsid w:val="00EF32D4"/>
    <w:rsid w:val="00EF3C22"/>
    <w:rsid w:val="00F82822"/>
    <w:rsid w:val="00FB3B7C"/>
    <w:rsid w:val="00FC00E4"/>
    <w:rsid w:val="00FD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16"/>
    <w:rPr>
      <w:rFonts w:ascii="Arial" w:hAnsi="Arial" w:cs="Arial"/>
      <w:sz w:val="24"/>
      <w:szCs w:val="24"/>
    </w:rPr>
  </w:style>
  <w:style w:type="paragraph" w:styleId="Heading1">
    <w:name w:val="heading 1"/>
    <w:basedOn w:val="Normal"/>
    <w:next w:val="Normal"/>
    <w:link w:val="Heading1Char"/>
    <w:qFormat/>
    <w:rsid w:val="00CC4816"/>
    <w:pPr>
      <w:jc w:val="center"/>
      <w:outlineLvl w:val="0"/>
    </w:pPr>
    <w:rPr>
      <w:rFonts w:ascii="Times New Roman" w:eastAsia="Calibri" w:hAnsi="Times New Roman"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816"/>
    <w:rPr>
      <w:rFonts w:eastAsia="Calibri"/>
      <w:b/>
      <w:sz w:val="24"/>
      <w:szCs w:val="22"/>
    </w:rPr>
  </w:style>
  <w:style w:type="paragraph" w:styleId="ListParagraph">
    <w:name w:val="List Paragraph"/>
    <w:basedOn w:val="Normal"/>
    <w:qFormat/>
    <w:rsid w:val="00CC4816"/>
    <w:pPr>
      <w:ind w:left="720"/>
      <w:contextualSpacing/>
    </w:pPr>
  </w:style>
  <w:style w:type="paragraph" w:styleId="TOCHeading">
    <w:name w:val="TOC Heading"/>
    <w:basedOn w:val="Heading1"/>
    <w:next w:val="Normal"/>
    <w:uiPriority w:val="39"/>
    <w:semiHidden/>
    <w:unhideWhenUsed/>
    <w:qFormat/>
    <w:rsid w:val="00CC4816"/>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837726"/>
    <w:rPr>
      <w:rFonts w:ascii="Tahoma" w:hAnsi="Tahoma" w:cs="Tahoma"/>
      <w:sz w:val="16"/>
      <w:szCs w:val="16"/>
    </w:rPr>
  </w:style>
  <w:style w:type="character" w:customStyle="1" w:styleId="BalloonTextChar">
    <w:name w:val="Balloon Text Char"/>
    <w:basedOn w:val="DefaultParagraphFont"/>
    <w:link w:val="BalloonText"/>
    <w:uiPriority w:val="99"/>
    <w:semiHidden/>
    <w:rsid w:val="00837726"/>
    <w:rPr>
      <w:rFonts w:ascii="Tahoma" w:hAnsi="Tahoma" w:cs="Tahoma"/>
      <w:sz w:val="16"/>
      <w:szCs w:val="16"/>
    </w:rPr>
  </w:style>
  <w:style w:type="character" w:styleId="CommentReference">
    <w:name w:val="annotation reference"/>
    <w:basedOn w:val="DefaultParagraphFont"/>
    <w:uiPriority w:val="99"/>
    <w:semiHidden/>
    <w:unhideWhenUsed/>
    <w:rsid w:val="00A926CA"/>
    <w:rPr>
      <w:sz w:val="16"/>
      <w:szCs w:val="16"/>
    </w:rPr>
  </w:style>
  <w:style w:type="paragraph" w:styleId="CommentText">
    <w:name w:val="annotation text"/>
    <w:basedOn w:val="Normal"/>
    <w:link w:val="CommentTextChar"/>
    <w:uiPriority w:val="99"/>
    <w:semiHidden/>
    <w:unhideWhenUsed/>
    <w:rsid w:val="00A926CA"/>
    <w:rPr>
      <w:sz w:val="20"/>
      <w:szCs w:val="20"/>
    </w:rPr>
  </w:style>
  <w:style w:type="character" w:customStyle="1" w:styleId="CommentTextChar">
    <w:name w:val="Comment Text Char"/>
    <w:basedOn w:val="DefaultParagraphFont"/>
    <w:link w:val="CommentText"/>
    <w:uiPriority w:val="99"/>
    <w:semiHidden/>
    <w:rsid w:val="00A926CA"/>
    <w:rPr>
      <w:rFonts w:ascii="Arial" w:hAnsi="Arial" w:cs="Arial"/>
    </w:rPr>
  </w:style>
  <w:style w:type="paragraph" w:styleId="CommentSubject">
    <w:name w:val="annotation subject"/>
    <w:basedOn w:val="CommentText"/>
    <w:next w:val="CommentText"/>
    <w:link w:val="CommentSubjectChar"/>
    <w:uiPriority w:val="99"/>
    <w:semiHidden/>
    <w:unhideWhenUsed/>
    <w:rsid w:val="00A926CA"/>
    <w:rPr>
      <w:b/>
      <w:bCs/>
    </w:rPr>
  </w:style>
  <w:style w:type="character" w:customStyle="1" w:styleId="CommentSubjectChar">
    <w:name w:val="Comment Subject Char"/>
    <w:basedOn w:val="CommentTextChar"/>
    <w:link w:val="CommentSubject"/>
    <w:uiPriority w:val="99"/>
    <w:semiHidden/>
    <w:rsid w:val="00A926CA"/>
    <w:rPr>
      <w:rFonts w:ascii="Arial" w:hAnsi="Arial" w:cs="Arial"/>
      <w:b/>
      <w:bCs/>
    </w:rPr>
  </w:style>
  <w:style w:type="paragraph" w:styleId="FootnoteText">
    <w:name w:val="footnote text"/>
    <w:basedOn w:val="Normal"/>
    <w:link w:val="FootnoteTextChar"/>
    <w:uiPriority w:val="99"/>
    <w:semiHidden/>
    <w:unhideWhenUsed/>
    <w:rsid w:val="00421A1E"/>
    <w:rPr>
      <w:sz w:val="20"/>
      <w:szCs w:val="20"/>
    </w:rPr>
  </w:style>
  <w:style w:type="character" w:customStyle="1" w:styleId="FootnoteTextChar">
    <w:name w:val="Footnote Text Char"/>
    <w:basedOn w:val="DefaultParagraphFont"/>
    <w:link w:val="FootnoteText"/>
    <w:uiPriority w:val="99"/>
    <w:semiHidden/>
    <w:rsid w:val="00421A1E"/>
    <w:rPr>
      <w:rFonts w:ascii="Arial" w:hAnsi="Arial" w:cs="Arial"/>
    </w:rPr>
  </w:style>
  <w:style w:type="character" w:styleId="FootnoteReference">
    <w:name w:val="footnote reference"/>
    <w:basedOn w:val="DefaultParagraphFont"/>
    <w:uiPriority w:val="99"/>
    <w:semiHidden/>
    <w:unhideWhenUsed/>
    <w:rsid w:val="00421A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16"/>
    <w:rPr>
      <w:rFonts w:ascii="Arial" w:hAnsi="Arial" w:cs="Arial"/>
      <w:sz w:val="24"/>
      <w:szCs w:val="24"/>
    </w:rPr>
  </w:style>
  <w:style w:type="paragraph" w:styleId="Heading1">
    <w:name w:val="heading 1"/>
    <w:basedOn w:val="Normal"/>
    <w:next w:val="Normal"/>
    <w:link w:val="Heading1Char"/>
    <w:qFormat/>
    <w:rsid w:val="00CC4816"/>
    <w:pPr>
      <w:jc w:val="center"/>
      <w:outlineLvl w:val="0"/>
    </w:pPr>
    <w:rPr>
      <w:rFonts w:ascii="Times New Roman" w:eastAsia="Calibri" w:hAnsi="Times New Roman"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816"/>
    <w:rPr>
      <w:rFonts w:eastAsia="Calibri"/>
      <w:b/>
      <w:sz w:val="24"/>
      <w:szCs w:val="22"/>
    </w:rPr>
  </w:style>
  <w:style w:type="paragraph" w:styleId="ListParagraph">
    <w:name w:val="List Paragraph"/>
    <w:basedOn w:val="Normal"/>
    <w:qFormat/>
    <w:rsid w:val="00CC4816"/>
    <w:pPr>
      <w:ind w:left="720"/>
      <w:contextualSpacing/>
    </w:pPr>
  </w:style>
  <w:style w:type="paragraph" w:styleId="TOCHeading">
    <w:name w:val="TOC Heading"/>
    <w:basedOn w:val="Heading1"/>
    <w:next w:val="Normal"/>
    <w:uiPriority w:val="39"/>
    <w:semiHidden/>
    <w:unhideWhenUsed/>
    <w:qFormat/>
    <w:rsid w:val="00CC4816"/>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837726"/>
    <w:rPr>
      <w:rFonts w:ascii="Tahoma" w:hAnsi="Tahoma" w:cs="Tahoma"/>
      <w:sz w:val="16"/>
      <w:szCs w:val="16"/>
    </w:rPr>
  </w:style>
  <w:style w:type="character" w:customStyle="1" w:styleId="BalloonTextChar">
    <w:name w:val="Balloon Text Char"/>
    <w:basedOn w:val="DefaultParagraphFont"/>
    <w:link w:val="BalloonText"/>
    <w:uiPriority w:val="99"/>
    <w:semiHidden/>
    <w:rsid w:val="00837726"/>
    <w:rPr>
      <w:rFonts w:ascii="Tahoma" w:hAnsi="Tahoma" w:cs="Tahoma"/>
      <w:sz w:val="16"/>
      <w:szCs w:val="16"/>
    </w:rPr>
  </w:style>
  <w:style w:type="character" w:styleId="CommentReference">
    <w:name w:val="annotation reference"/>
    <w:basedOn w:val="DefaultParagraphFont"/>
    <w:uiPriority w:val="99"/>
    <w:semiHidden/>
    <w:unhideWhenUsed/>
    <w:rsid w:val="00A926CA"/>
    <w:rPr>
      <w:sz w:val="16"/>
      <w:szCs w:val="16"/>
    </w:rPr>
  </w:style>
  <w:style w:type="paragraph" w:styleId="CommentText">
    <w:name w:val="annotation text"/>
    <w:basedOn w:val="Normal"/>
    <w:link w:val="CommentTextChar"/>
    <w:uiPriority w:val="99"/>
    <w:semiHidden/>
    <w:unhideWhenUsed/>
    <w:rsid w:val="00A926CA"/>
    <w:rPr>
      <w:sz w:val="20"/>
      <w:szCs w:val="20"/>
    </w:rPr>
  </w:style>
  <w:style w:type="character" w:customStyle="1" w:styleId="CommentTextChar">
    <w:name w:val="Comment Text Char"/>
    <w:basedOn w:val="DefaultParagraphFont"/>
    <w:link w:val="CommentText"/>
    <w:uiPriority w:val="99"/>
    <w:semiHidden/>
    <w:rsid w:val="00A926CA"/>
    <w:rPr>
      <w:rFonts w:ascii="Arial" w:hAnsi="Arial" w:cs="Arial"/>
    </w:rPr>
  </w:style>
  <w:style w:type="paragraph" w:styleId="CommentSubject">
    <w:name w:val="annotation subject"/>
    <w:basedOn w:val="CommentText"/>
    <w:next w:val="CommentText"/>
    <w:link w:val="CommentSubjectChar"/>
    <w:uiPriority w:val="99"/>
    <w:semiHidden/>
    <w:unhideWhenUsed/>
    <w:rsid w:val="00A926CA"/>
    <w:rPr>
      <w:b/>
      <w:bCs/>
    </w:rPr>
  </w:style>
  <w:style w:type="character" w:customStyle="1" w:styleId="CommentSubjectChar">
    <w:name w:val="Comment Subject Char"/>
    <w:basedOn w:val="CommentTextChar"/>
    <w:link w:val="CommentSubject"/>
    <w:uiPriority w:val="99"/>
    <w:semiHidden/>
    <w:rsid w:val="00A926CA"/>
    <w:rPr>
      <w:rFonts w:ascii="Arial" w:hAnsi="Arial" w:cs="Arial"/>
      <w:b/>
      <w:bCs/>
    </w:rPr>
  </w:style>
  <w:style w:type="paragraph" w:styleId="FootnoteText">
    <w:name w:val="footnote text"/>
    <w:basedOn w:val="Normal"/>
    <w:link w:val="FootnoteTextChar"/>
    <w:uiPriority w:val="99"/>
    <w:semiHidden/>
    <w:unhideWhenUsed/>
    <w:rsid w:val="00421A1E"/>
    <w:rPr>
      <w:sz w:val="20"/>
      <w:szCs w:val="20"/>
    </w:rPr>
  </w:style>
  <w:style w:type="character" w:customStyle="1" w:styleId="FootnoteTextChar">
    <w:name w:val="Footnote Text Char"/>
    <w:basedOn w:val="DefaultParagraphFont"/>
    <w:link w:val="FootnoteText"/>
    <w:uiPriority w:val="99"/>
    <w:semiHidden/>
    <w:rsid w:val="00421A1E"/>
    <w:rPr>
      <w:rFonts w:ascii="Arial" w:hAnsi="Arial" w:cs="Arial"/>
    </w:rPr>
  </w:style>
  <w:style w:type="character" w:styleId="FootnoteReference">
    <w:name w:val="footnote reference"/>
    <w:basedOn w:val="DefaultParagraphFont"/>
    <w:uiPriority w:val="99"/>
    <w:semiHidden/>
    <w:unhideWhenUsed/>
    <w:rsid w:val="00421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25704">
      <w:bodyDiv w:val="1"/>
      <w:marLeft w:val="0"/>
      <w:marRight w:val="0"/>
      <w:marTop w:val="0"/>
      <w:marBottom w:val="0"/>
      <w:divBdr>
        <w:top w:val="none" w:sz="0" w:space="0" w:color="auto"/>
        <w:left w:val="none" w:sz="0" w:space="0" w:color="auto"/>
        <w:bottom w:val="none" w:sz="0" w:space="0" w:color="auto"/>
        <w:right w:val="none" w:sz="0" w:space="0" w:color="auto"/>
      </w:divBdr>
    </w:div>
    <w:div w:id="20253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E01C3-4C3F-4EA9-82E5-9BDD5D10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Teuber, Melissa</dc:creator>
  <cp:lastModifiedBy>Teuber, Melissa</cp:lastModifiedBy>
  <cp:revision>2</cp:revision>
  <cp:lastPrinted>2011-11-16T18:40:00Z</cp:lastPrinted>
  <dcterms:created xsi:type="dcterms:W3CDTF">2014-03-06T16:15:00Z</dcterms:created>
  <dcterms:modified xsi:type="dcterms:W3CDTF">2014-03-06T16:15:00Z</dcterms:modified>
</cp:coreProperties>
</file>