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03" w:rsidRDefault="009B40BA">
      <w:pPr>
        <w:pStyle w:val="Textoindependiente"/>
        <w:ind w:left="208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AR" w:eastAsia="es-AR" w:bidi="ar-SA"/>
        </w:rPr>
        <w:drawing>
          <wp:inline distT="0" distB="0" distL="0" distR="0">
            <wp:extent cx="4217833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83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803" w:rsidRDefault="00887803">
      <w:pPr>
        <w:pStyle w:val="Textoindependiente"/>
        <w:spacing w:before="5"/>
        <w:rPr>
          <w:rFonts w:ascii="Times New Roman"/>
          <w:sz w:val="24"/>
        </w:rPr>
      </w:pPr>
    </w:p>
    <w:p w:rsidR="00887803" w:rsidRPr="009B40BA" w:rsidRDefault="009B40BA">
      <w:pPr>
        <w:spacing w:before="101"/>
        <w:ind w:left="2000" w:right="835" w:hanging="1059"/>
        <w:rPr>
          <w:rFonts w:ascii="Cambria"/>
          <w:b/>
          <w:sz w:val="30"/>
          <w:lang w:val="es-AR"/>
        </w:rPr>
      </w:pPr>
      <w:r>
        <w:rPr>
          <w:rFonts w:ascii="Cambria" w:hAnsi="Cambria"/>
          <w:b/>
          <w:bCs/>
          <w:sz w:val="30"/>
          <w:lang w:val="es"/>
        </w:rPr>
        <w:t>Gestión del conocimiento y monitoreo y evaluación: Actividades de colaboración propuestas a lo largo del ciclo del programa</w:t>
      </w:r>
    </w:p>
    <w:p w:rsidR="00887803" w:rsidRPr="009B40BA" w:rsidRDefault="009B40BA">
      <w:pPr>
        <w:pStyle w:val="Textoindependiente"/>
        <w:spacing w:before="267"/>
        <w:ind w:left="219" w:right="327"/>
        <w:rPr>
          <w:lang w:val="es-AR"/>
        </w:rPr>
      </w:pPr>
      <w:r>
        <w:rPr>
          <w:lang w:val="es"/>
        </w:rPr>
        <w:t>Tanto la Gestión del conocimiento (KM) como el Monitoreo y la evaluación (M+E) facilitan el aprendizaje colaborativo y exigen trabajar con otros para lograr el éxito. A pesar de estas similitudes, existe cierta confusión sobre cómo estos dos sectores deber</w:t>
      </w:r>
      <w:r>
        <w:rPr>
          <w:lang w:val="es"/>
        </w:rPr>
        <w:t>ían trabajar en forma conjunta para una programación más sólida, algo que presenta muchas dificultades en la actividad cotidiana de los programas y en la calidad y los efectos generales.</w:t>
      </w:r>
    </w:p>
    <w:p w:rsidR="00887803" w:rsidRPr="009B40BA" w:rsidRDefault="00887803">
      <w:pPr>
        <w:pStyle w:val="Textoindependiente"/>
        <w:spacing w:before="11"/>
        <w:rPr>
          <w:sz w:val="21"/>
          <w:lang w:val="es-AR"/>
        </w:rPr>
      </w:pPr>
    </w:p>
    <w:p w:rsidR="00887803" w:rsidRPr="009B40BA" w:rsidRDefault="009B40BA">
      <w:pPr>
        <w:pStyle w:val="Textoindependiente"/>
        <w:ind w:left="218" w:right="196"/>
        <w:rPr>
          <w:lang w:val="es-AR"/>
        </w:rPr>
      </w:pPr>
      <w:r>
        <w:rPr>
          <w:lang w:val="es"/>
        </w:rPr>
        <w:t>Un desafío fundamental es que la planificación del M+E y de la KM ra</w:t>
      </w:r>
      <w:r>
        <w:rPr>
          <w:lang w:val="es"/>
        </w:rPr>
        <w:t xml:space="preserve">ra vez se hacen juntas, con consecuencias cada vez más negativas. A menudo se considera que la KM es más reactiva y pocas veces se planifica y se destinan recursos a ella, y la actividad de KM se aísla en gran parte dentro de los programas. Y, si bien las </w:t>
      </w:r>
      <w:r>
        <w:rPr>
          <w:lang w:val="es"/>
        </w:rPr>
        <w:t>consideraciones relativas al M+E están deliberadamente incorporadas en todos los programas (entre el 5% y el 10% del presupuesto total para programas se asigna normalmente al M+E); la KM a menudo se incorpora como una idea posterior o en una etapa posterio</w:t>
      </w:r>
      <w:r>
        <w:rPr>
          <w:lang w:val="es"/>
        </w:rPr>
        <w:t>r, lo que conduce a limitaciones de implementación para este tipo de actividad.</w:t>
      </w:r>
    </w:p>
    <w:p w:rsidR="00887803" w:rsidRPr="009B40BA" w:rsidRDefault="00887803">
      <w:pPr>
        <w:pStyle w:val="Textoindependiente"/>
        <w:rPr>
          <w:lang w:val="es-AR"/>
        </w:rPr>
      </w:pPr>
    </w:p>
    <w:p w:rsidR="00887803" w:rsidRPr="009B40BA" w:rsidRDefault="009B40BA">
      <w:pPr>
        <w:pStyle w:val="Textoindependiente"/>
        <w:spacing w:before="1"/>
        <w:ind w:left="218" w:right="173"/>
        <w:rPr>
          <w:lang w:val="es-AR"/>
        </w:rPr>
      </w:pPr>
      <w:r>
        <w:rPr>
          <w:lang w:val="es"/>
        </w:rPr>
        <w:t>Estos equipos a menudo funcionan de manera aislada en muchos proyectos y programas, lo que crea obstáculos como la redundancia en los esfuerzos debido a la limitada comunicaci</w:t>
      </w:r>
      <w:r>
        <w:rPr>
          <w:lang w:val="es"/>
        </w:rPr>
        <w:t>ón e intercambio de información. Muchos problemas de implementación se pierden por la ausencia de una conexión sólida entre la KM y el M+E. Cada función suele desarrollar indicadores, herramientas y sistemas diferentes para la presentación de informes, y c</w:t>
      </w:r>
      <w:r>
        <w:rPr>
          <w:lang w:val="es"/>
        </w:rPr>
        <w:t>on una coordinación limitada entre ellos, los sistemas a menudo no son compatibles. Esta falta de coordinación conduce a la escasez de resultados y a la falta de comprensión de las diferencias entre el nivel de campo y sede central. Y, como suele haber muy</w:t>
      </w:r>
      <w:r>
        <w:rPr>
          <w:lang w:val="es"/>
        </w:rPr>
        <w:t xml:space="preserve"> poca KM a nivel de campo, el aprendizaje útil recopilado de las actividades de M+E a menudo no se reconoce ni se aplica en un proyecto.</w:t>
      </w:r>
    </w:p>
    <w:p w:rsidR="00887803" w:rsidRPr="009B40BA" w:rsidRDefault="00887803">
      <w:pPr>
        <w:pStyle w:val="Textoindependiente"/>
        <w:spacing w:before="11"/>
        <w:rPr>
          <w:sz w:val="21"/>
          <w:lang w:val="es-AR"/>
        </w:rPr>
      </w:pPr>
    </w:p>
    <w:p w:rsidR="00887803" w:rsidRPr="009B40BA" w:rsidRDefault="009B40BA">
      <w:pPr>
        <w:pStyle w:val="Textoindependiente"/>
        <w:ind w:left="218" w:right="132"/>
        <w:rPr>
          <w:lang w:val="es-AR"/>
        </w:rPr>
      </w:pPr>
      <w:r>
        <w:rPr>
          <w:lang w:val="es"/>
        </w:rPr>
        <w:t>Estos problemas han dado lugar a una creciente necesidad de una colaboración sostenida y coordinada entre las funcione</w:t>
      </w:r>
      <w:r>
        <w:rPr>
          <w:lang w:val="es"/>
        </w:rPr>
        <w:t>s de nivel de proyecto de la KM y el M+E, a fin de lograr un diseño y una implementación más sólidos de los programas que conduzcan a mejores resultados.</w:t>
      </w:r>
    </w:p>
    <w:p w:rsidR="00887803" w:rsidRPr="009B40BA" w:rsidRDefault="00887803">
      <w:pPr>
        <w:pStyle w:val="Textoindependiente"/>
        <w:rPr>
          <w:lang w:val="es-AR"/>
        </w:rPr>
      </w:pPr>
    </w:p>
    <w:p w:rsidR="00887803" w:rsidRPr="009B40BA" w:rsidRDefault="009B40BA">
      <w:pPr>
        <w:pStyle w:val="Textoindependiente"/>
        <w:ind w:left="218" w:right="196"/>
        <w:rPr>
          <w:lang w:val="es-AR"/>
        </w:rPr>
      </w:pPr>
      <w:r>
        <w:rPr>
          <w:lang w:val="es"/>
        </w:rPr>
        <w:t>El presente documento tiene por objeto proporcionar orientación práctica sobre las actividades que se</w:t>
      </w:r>
      <w:r>
        <w:rPr>
          <w:lang w:val="es"/>
        </w:rPr>
        <w:t xml:space="preserve"> pueden llevar a cabo conjuntamente entre la KM y M+E a través de un ciclo del programa para desarrollar una sinergia altamente coordinada y funcional entre la KM y el M+E. Esto debería ayudar a facilitar el aprendizaje colaborativo y garantizar que los co</w:t>
      </w:r>
      <w:r>
        <w:rPr>
          <w:lang w:val="es"/>
        </w:rPr>
        <w:t>nocimientos formulados y compartidos se basen en pruebas rigurosas. También servirá de base para las decisiones de gestión e impulsará la aplicación de esos aprendizajes a la toma de decisiones en curso con respecto a los proyectos y al diseño futuro de pr</w:t>
      </w:r>
      <w:r>
        <w:rPr>
          <w:lang w:val="es"/>
        </w:rPr>
        <w:t>oyectos, contribuyendo en última instancia a una programación significativa.</w:t>
      </w:r>
    </w:p>
    <w:p w:rsidR="00887803" w:rsidRPr="009B40BA" w:rsidRDefault="00887803">
      <w:pPr>
        <w:pStyle w:val="Textoindependiente"/>
        <w:spacing w:before="11"/>
        <w:rPr>
          <w:sz w:val="21"/>
          <w:lang w:val="es-AR"/>
        </w:rPr>
      </w:pPr>
    </w:p>
    <w:p w:rsidR="00887803" w:rsidRPr="009B40BA" w:rsidRDefault="009B40BA">
      <w:pPr>
        <w:ind w:left="217" w:right="652"/>
        <w:rPr>
          <w:lang w:val="es-AR"/>
        </w:rPr>
      </w:pPr>
      <w:r>
        <w:rPr>
          <w:lang w:val="es"/>
        </w:rPr>
        <w:t xml:space="preserve">Este documento es un recurso complementario a la </w:t>
      </w:r>
      <w:r>
        <w:rPr>
          <w:b/>
          <w:bCs/>
          <w:i/>
          <w:iCs/>
          <w:lang w:val="es"/>
        </w:rPr>
        <w:t>Infografía sobre la relación complementaria entre la gestión del conocimiento y el monitoreo y la evaluación</w:t>
      </w:r>
      <w:r>
        <w:rPr>
          <w:lang w:val="es"/>
        </w:rPr>
        <w:t>, que describe el val</w:t>
      </w:r>
      <w:r>
        <w:rPr>
          <w:lang w:val="es"/>
        </w:rPr>
        <w:t>or que la colaboración entre M+E y KM puede aportar a cada sector, y a la programación en su conjunto.</w:t>
      </w:r>
    </w:p>
    <w:p w:rsidR="00887803" w:rsidRPr="009B40BA" w:rsidRDefault="00887803">
      <w:pPr>
        <w:rPr>
          <w:lang w:val="es-AR"/>
        </w:rPr>
        <w:sectPr w:rsidR="00887803" w:rsidRPr="009B40BA">
          <w:type w:val="continuous"/>
          <w:pgSz w:w="12240" w:h="15840"/>
          <w:pgMar w:top="780" w:right="860" w:bottom="280" w:left="680" w:header="720" w:footer="720" w:gutter="0"/>
          <w:cols w:space="720"/>
        </w:sectPr>
      </w:pPr>
    </w:p>
    <w:p w:rsidR="00887803" w:rsidRPr="009B40BA" w:rsidRDefault="009B40BA">
      <w:pPr>
        <w:spacing w:before="50"/>
        <w:ind w:left="940" w:right="454" w:hanging="721"/>
        <w:rPr>
          <w:b/>
          <w:sz w:val="18"/>
          <w:lang w:val="es-AR"/>
        </w:rPr>
      </w:pPr>
      <w:r>
        <w:rPr>
          <w:b/>
          <w:bCs/>
          <w:color w:val="595958"/>
          <w:sz w:val="18"/>
          <w:lang w:val="es"/>
        </w:rPr>
        <w:lastRenderedPageBreak/>
        <w:t>Figura 1: Actividades sugeridas en diversas etapas del ciclo del programa para impulsar la colaboración entre las funciones del programa de K</w:t>
      </w:r>
      <w:r>
        <w:rPr>
          <w:b/>
          <w:bCs/>
          <w:color w:val="595958"/>
          <w:sz w:val="18"/>
          <w:lang w:val="es"/>
        </w:rPr>
        <w:t>M y M+E para una colaboración más fuerte</w:t>
      </w:r>
    </w:p>
    <w:p w:rsidR="00887803" w:rsidRPr="009B40BA" w:rsidRDefault="00887803">
      <w:pPr>
        <w:pStyle w:val="Textoindependiente"/>
        <w:spacing w:before="11" w:after="1"/>
        <w:rPr>
          <w:b/>
          <w:sz w:val="17"/>
          <w:lang w:val="es-A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7022"/>
      </w:tblGrid>
      <w:tr w:rsidR="00887803" w:rsidTr="009B40BA">
        <w:trPr>
          <w:trHeight w:val="537"/>
        </w:trPr>
        <w:tc>
          <w:tcPr>
            <w:tcW w:w="3437" w:type="dxa"/>
            <w:shd w:val="clear" w:color="auto" w:fill="237990"/>
          </w:tcPr>
          <w:p w:rsidR="00887803" w:rsidRDefault="009B40BA">
            <w:pPr>
              <w:pStyle w:val="TableParagraph"/>
              <w:spacing w:line="265" w:lineRule="exact"/>
              <w:ind w:left="527" w:right="519" w:firstLine="0"/>
              <w:jc w:val="center"/>
              <w:rPr>
                <w:b/>
              </w:rPr>
            </w:pPr>
            <w:r>
              <w:rPr>
                <w:b/>
                <w:bCs/>
                <w:color w:val="FFFFFF"/>
                <w:lang w:val="es"/>
              </w:rPr>
              <w:t>PROGRAMA</w:t>
            </w:r>
          </w:p>
          <w:p w:rsidR="00887803" w:rsidRDefault="009B40BA">
            <w:pPr>
              <w:pStyle w:val="TableParagraph"/>
              <w:spacing w:line="252" w:lineRule="exact"/>
              <w:ind w:left="529" w:right="519" w:firstLine="0"/>
              <w:jc w:val="center"/>
              <w:rPr>
                <w:b/>
              </w:rPr>
            </w:pPr>
            <w:r>
              <w:rPr>
                <w:b/>
                <w:bCs/>
                <w:color w:val="FFFFFF"/>
                <w:lang w:val="es"/>
              </w:rPr>
              <w:t>ETAPAS/</w:t>
            </w:r>
            <w:proofErr w:type="spellStart"/>
            <w:r>
              <w:rPr>
                <w:b/>
                <w:bCs/>
                <w:color w:val="FFFFFF"/>
                <w:lang w:val="es"/>
              </w:rPr>
              <w:t>COMPONENTES</w:t>
            </w:r>
            <w:hyperlink w:anchor="_bookmark0" w:history="1">
              <w:r>
                <w:rPr>
                  <w:b/>
                  <w:bCs/>
                  <w:color w:val="FFFFFF"/>
                  <w:vertAlign w:val="superscript"/>
                  <w:lang w:val="es"/>
                </w:rPr>
                <w:t>i</w:t>
              </w:r>
              <w:proofErr w:type="spellEnd"/>
            </w:hyperlink>
          </w:p>
        </w:tc>
        <w:tc>
          <w:tcPr>
            <w:tcW w:w="7022" w:type="dxa"/>
            <w:shd w:val="clear" w:color="auto" w:fill="237990"/>
          </w:tcPr>
          <w:p w:rsidR="00887803" w:rsidRDefault="009B40BA">
            <w:pPr>
              <w:pStyle w:val="TableParagraph"/>
              <w:spacing w:line="265" w:lineRule="exact"/>
              <w:ind w:left="1763" w:firstLine="0"/>
              <w:rPr>
                <w:b/>
              </w:rPr>
            </w:pPr>
            <w:r>
              <w:rPr>
                <w:b/>
                <w:bCs/>
                <w:color w:val="FFFFFF"/>
                <w:lang w:val="es"/>
              </w:rPr>
              <w:t>ACTIVIDADES DE COLABORACIÓN PROPUESTAS</w:t>
            </w:r>
          </w:p>
        </w:tc>
      </w:tr>
      <w:tr w:rsidR="00887803" w:rsidRPr="009B40BA" w:rsidTr="009B40BA">
        <w:trPr>
          <w:trHeight w:val="1660"/>
        </w:trPr>
        <w:tc>
          <w:tcPr>
            <w:tcW w:w="3437" w:type="dxa"/>
            <w:shd w:val="clear" w:color="auto" w:fill="BCC589"/>
          </w:tcPr>
          <w:p w:rsidR="00887803" w:rsidRPr="009B40BA" w:rsidRDefault="009B40BA">
            <w:pPr>
              <w:pStyle w:val="TableParagraph"/>
              <w:ind w:left="1185" w:right="239" w:hanging="920"/>
              <w:rPr>
                <w:b/>
                <w:sz w:val="20"/>
                <w:lang w:val="es-AR"/>
              </w:rPr>
            </w:pPr>
            <w:r>
              <w:rPr>
                <w:b/>
                <w:bCs/>
                <w:sz w:val="20"/>
                <w:lang w:val="es"/>
              </w:rPr>
              <w:t>PLANIFICACIÓN ESTRATÉGICA NACIONAL/REGIONAL</w:t>
            </w:r>
          </w:p>
          <w:p w:rsidR="00887803" w:rsidRPr="009B40BA" w:rsidRDefault="009B40BA">
            <w:pPr>
              <w:pStyle w:val="TableParagraph"/>
              <w:ind w:left="107" w:right="149" w:firstLine="0"/>
              <w:rPr>
                <w:i/>
                <w:sz w:val="16"/>
                <w:lang w:val="es-AR"/>
              </w:rPr>
            </w:pPr>
            <w:r>
              <w:rPr>
                <w:sz w:val="16"/>
                <w:lang w:val="es"/>
              </w:rPr>
              <w:t>(Proceso para determinar el mejor enfoque estratégico en un país o región determinado.</w:t>
            </w:r>
            <w:r>
              <w:rPr>
                <w:i/>
                <w:iCs/>
                <w:sz w:val="16"/>
                <w:lang w:val="es"/>
              </w:rPr>
              <w:t xml:space="preserve"> Sobre la base de las prioridades de la política de desarrollo de los Estados Unidos, las prioridades nacionales y/o regionales, y la ventaja comparativa de USAID y los r</w:t>
            </w:r>
            <w:r>
              <w:rPr>
                <w:i/>
                <w:iCs/>
                <w:sz w:val="16"/>
                <w:lang w:val="es"/>
              </w:rPr>
              <w:t>ecursos de ayuda disponibles</w:t>
            </w:r>
          </w:p>
          <w:p w:rsidR="00887803" w:rsidRDefault="009B40BA">
            <w:pPr>
              <w:pStyle w:val="TableParagraph"/>
              <w:spacing w:line="175" w:lineRule="exact"/>
              <w:ind w:left="107" w:firstLine="0"/>
              <w:rPr>
                <w:i/>
                <w:sz w:val="16"/>
              </w:rPr>
            </w:pPr>
            <w:proofErr w:type="gramStart"/>
            <w:r>
              <w:rPr>
                <w:i/>
                <w:iCs/>
                <w:sz w:val="16"/>
                <w:lang w:val="es"/>
              </w:rPr>
              <w:t>entre</w:t>
            </w:r>
            <w:proofErr w:type="gramEnd"/>
            <w:r>
              <w:rPr>
                <w:i/>
                <w:iCs/>
                <w:sz w:val="16"/>
                <w:lang w:val="es"/>
              </w:rPr>
              <w:t xml:space="preserve"> otros factores.)</w:t>
            </w:r>
          </w:p>
        </w:tc>
        <w:tc>
          <w:tcPr>
            <w:tcW w:w="7022" w:type="dxa"/>
            <w:shd w:val="clear" w:color="auto" w:fill="BCC589"/>
          </w:tcPr>
          <w:p w:rsidR="00887803" w:rsidRPr="009B40BA" w:rsidRDefault="009B40BA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ind w:left="465" w:right="200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Revisar las evaluaciones pertinentes anteriores, las lecciones aprendidas, las recomendaciones, etc., y recopilar la información pertinente que se incluirá en el nuevo diseño de los programas</w:t>
            </w:r>
          </w:p>
        </w:tc>
      </w:tr>
      <w:tr w:rsidR="00887803" w:rsidRPr="009B40BA" w:rsidTr="009B40BA">
        <w:trPr>
          <w:trHeight w:val="2236"/>
        </w:trPr>
        <w:tc>
          <w:tcPr>
            <w:tcW w:w="3437" w:type="dxa"/>
          </w:tcPr>
          <w:p w:rsidR="00887803" w:rsidRPr="009B40BA" w:rsidRDefault="009B40BA">
            <w:pPr>
              <w:pStyle w:val="TableParagraph"/>
              <w:ind w:left="849" w:right="807" w:hanging="12"/>
              <w:rPr>
                <w:b/>
                <w:sz w:val="20"/>
                <w:lang w:val="es-AR"/>
              </w:rPr>
            </w:pPr>
            <w:r>
              <w:rPr>
                <w:b/>
                <w:bCs/>
                <w:sz w:val="20"/>
                <w:lang w:val="es"/>
              </w:rPr>
              <w:t>DISEÑO E IM</w:t>
            </w:r>
            <w:r>
              <w:rPr>
                <w:b/>
                <w:bCs/>
                <w:sz w:val="20"/>
                <w:lang w:val="es"/>
              </w:rPr>
              <w:t>PLEMENTACIÓN DE PROYECTOS</w:t>
            </w:r>
          </w:p>
          <w:p w:rsidR="00887803" w:rsidRDefault="009B40BA">
            <w:pPr>
              <w:pStyle w:val="TableParagraph"/>
              <w:ind w:left="107" w:right="149" w:firstLine="0"/>
              <w:rPr>
                <w:i/>
                <w:sz w:val="16"/>
              </w:rPr>
            </w:pPr>
            <w:r>
              <w:rPr>
                <w:i/>
                <w:iCs/>
                <w:sz w:val="16"/>
                <w:lang w:val="es"/>
              </w:rPr>
              <w:t xml:space="preserve">(Proceso de definición de cómo lograr resultados para asegurar que los esfuerzos sean complementarios y se alineen en apoyo de una estrategia. Normalmente incorpora múltiples actividades organizadas en torno a </w:t>
            </w:r>
            <w:proofErr w:type="gramStart"/>
            <w:r>
              <w:rPr>
                <w:i/>
                <w:iCs/>
                <w:sz w:val="16"/>
                <w:lang w:val="es"/>
              </w:rPr>
              <w:t xml:space="preserve">un objetivo común e </w:t>
            </w:r>
            <w:r>
              <w:rPr>
                <w:i/>
                <w:iCs/>
                <w:sz w:val="16"/>
                <w:lang w:val="es"/>
              </w:rPr>
              <w:t>implementadas</w:t>
            </w:r>
            <w:proofErr w:type="gramEnd"/>
            <w:r>
              <w:rPr>
                <w:i/>
                <w:iCs/>
                <w:sz w:val="16"/>
                <w:lang w:val="es"/>
              </w:rPr>
              <w:t xml:space="preserve"> para lograrlo.)</w:t>
            </w:r>
          </w:p>
        </w:tc>
        <w:tc>
          <w:tcPr>
            <w:tcW w:w="7022" w:type="dxa"/>
          </w:tcPr>
          <w:p w:rsidR="00887803" w:rsidRPr="009B40BA" w:rsidRDefault="009B40BA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left="465" w:right="355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Revisión de la información y documentación existentes para determinar las cuestiones pendientes de investigación de esfuerzos anteriores que pueden incluirse en las actividades/programas de aprendizaje continuo</w:t>
            </w:r>
          </w:p>
          <w:p w:rsidR="00887803" w:rsidRPr="009B40BA" w:rsidRDefault="009B40BA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left="465" w:right="113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Identificar oportunidades para realizar revisiones periódicas de la implementación de programas a fin de destacar los éxitos, problemas y prácticas prometedoras e incluirlos en el plan de trabajo</w:t>
            </w:r>
          </w:p>
          <w:p w:rsidR="00887803" w:rsidRPr="009B40BA" w:rsidRDefault="009B40BA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left="465" w:right="556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Implementar revisiones periódicas de la ejecución de los pro</w:t>
            </w:r>
            <w:r>
              <w:rPr>
                <w:sz w:val="18"/>
                <w:lang w:val="es"/>
              </w:rPr>
              <w:t>gramas/revisiones posteriores a la acción/ayuda entre pares y otros procesos para asegurar que los éxitos, los problemas y las prácticas prometedoras/nuevos aprendizajes se pongan de manifiesto, se compartan y se apliquen</w:t>
            </w:r>
          </w:p>
          <w:p w:rsidR="00887803" w:rsidRPr="009B40BA" w:rsidRDefault="009B40BA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left="465" w:right="459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Describir un sistema de informació</w:t>
            </w:r>
            <w:r>
              <w:rPr>
                <w:sz w:val="18"/>
                <w:lang w:val="es"/>
              </w:rPr>
              <w:t>n eficiente y fácil de usar que funcione para que la información pueda recuperarse fácil y rápidamente</w:t>
            </w:r>
          </w:p>
        </w:tc>
      </w:tr>
      <w:tr w:rsidR="00887803" w:rsidRPr="009B40BA" w:rsidTr="009B40BA">
        <w:trPr>
          <w:trHeight w:val="2922"/>
        </w:trPr>
        <w:tc>
          <w:tcPr>
            <w:tcW w:w="3437" w:type="dxa"/>
            <w:shd w:val="clear" w:color="auto" w:fill="BCC589"/>
          </w:tcPr>
          <w:p w:rsidR="00887803" w:rsidRPr="009B40BA" w:rsidRDefault="009B40BA">
            <w:pPr>
              <w:pStyle w:val="TableParagraph"/>
              <w:ind w:left="849" w:right="791" w:hanging="27"/>
              <w:rPr>
                <w:b/>
                <w:sz w:val="20"/>
                <w:lang w:val="es-AR"/>
              </w:rPr>
            </w:pPr>
            <w:r>
              <w:rPr>
                <w:b/>
                <w:bCs/>
                <w:sz w:val="20"/>
                <w:lang w:val="es"/>
              </w:rPr>
              <w:t>DISEÑO E IMPLEMENTACIÓN DE ACTIVIDADES</w:t>
            </w:r>
          </w:p>
          <w:p w:rsidR="00887803" w:rsidRPr="009B40BA" w:rsidRDefault="009B40BA">
            <w:pPr>
              <w:pStyle w:val="TableParagraph"/>
              <w:ind w:left="107" w:right="109" w:firstLine="0"/>
              <w:rPr>
                <w:i/>
                <w:sz w:val="16"/>
                <w:lang w:val="es-AR"/>
              </w:rPr>
            </w:pPr>
            <w:r>
              <w:rPr>
                <w:i/>
                <w:iCs/>
                <w:sz w:val="16"/>
                <w:lang w:val="es"/>
              </w:rPr>
              <w:t xml:space="preserve">(Proceso para definir más a fondo cómo implementar una actividad que contribuya a un proyecto. </w:t>
            </w:r>
            <w:r>
              <w:rPr>
                <w:sz w:val="16"/>
                <w:lang w:val="es"/>
              </w:rPr>
              <w:t>A</w:t>
            </w:r>
            <w:r>
              <w:rPr>
                <w:i/>
                <w:iCs/>
                <w:sz w:val="16"/>
                <w:lang w:val="es"/>
              </w:rPr>
              <w:t>ctividades implementadas mediante diversos mecanismos, como un contrato, un acuerdo directo con el gobierno de los países asociados, donaciones a una organización local o directamente por parte de personal de USAID (p. ej., diálogo sobre políticas o desarr</w:t>
            </w:r>
            <w:r>
              <w:rPr>
                <w:i/>
                <w:iCs/>
                <w:sz w:val="16"/>
                <w:lang w:val="es"/>
              </w:rPr>
              <w:t>ollo de la capacidad).</w:t>
            </w:r>
          </w:p>
        </w:tc>
        <w:tc>
          <w:tcPr>
            <w:tcW w:w="7022" w:type="dxa"/>
            <w:shd w:val="clear" w:color="auto" w:fill="BCC589"/>
          </w:tcPr>
          <w:p w:rsidR="00887803" w:rsidRPr="009B40BA" w:rsidRDefault="009B40BA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left="465" w:right="172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Trabajar juntos para simplificar la lista de indicadores sugeridos y asegurar que sólo se recojan los datos que se utilizarán</w:t>
            </w:r>
          </w:p>
          <w:p w:rsidR="00887803" w:rsidRPr="009B40BA" w:rsidRDefault="009B40BA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left="465" w:right="195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 xml:space="preserve">Incorporar indicadores pertinentes y creíbles que evalúen la eficacia de los esfuerzos en materia de KM en </w:t>
            </w:r>
            <w:r>
              <w:rPr>
                <w:sz w:val="18"/>
                <w:lang w:val="es"/>
              </w:rPr>
              <w:t>los planes de monitoreo para ayudar a aumentar la integración de la KM en la programación</w:t>
            </w:r>
          </w:p>
          <w:p w:rsidR="00887803" w:rsidRPr="009B40BA" w:rsidRDefault="009B40BA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left="465" w:right="293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Desarrollar, probar y perfeccionar plenamente los sistemas de gestión de datos e información, y los instrumentos de recopilación de datos que facilitan el acceso fáci</w:t>
            </w:r>
            <w:r>
              <w:rPr>
                <w:sz w:val="18"/>
                <w:lang w:val="es"/>
              </w:rPr>
              <w:t>l y rápido a información</w:t>
            </w:r>
          </w:p>
          <w:p w:rsidR="00887803" w:rsidRPr="009B40BA" w:rsidRDefault="009B40BA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29" w:lineRule="exact"/>
              <w:ind w:left="465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Desarrollar taxonomías para documentos y carpetas para que resulte fácil recuperar información.</w:t>
            </w:r>
          </w:p>
          <w:p w:rsidR="00887803" w:rsidRPr="009B40BA" w:rsidRDefault="009B40BA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left="465" w:right="151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Identificar y trabajar para eliminar los obstáculos que impiden el flujo de conocimientos de M+E (al campo, desde el campo, a la sede central, desde la sede central, etc.)</w:t>
            </w:r>
          </w:p>
          <w:p w:rsidR="00887803" w:rsidRPr="009B40BA" w:rsidRDefault="009B40BA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left="465" w:right="319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Desarrollar herramientas de visualización/información de datos que transformen los d</w:t>
            </w:r>
            <w:r>
              <w:rPr>
                <w:sz w:val="18"/>
                <w:lang w:val="es"/>
              </w:rPr>
              <w:t>atos pesados en recursos fácilmente comprensibles/asimilados</w:t>
            </w:r>
          </w:p>
          <w:p w:rsidR="00887803" w:rsidRPr="009B40BA" w:rsidRDefault="009B40BA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29" w:lineRule="exact"/>
              <w:ind w:left="465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Desarrollar guías procedimentales que se puedan aplicar fácilmente a apoyar la capacidad de memoria institucional</w:t>
            </w:r>
          </w:p>
        </w:tc>
      </w:tr>
      <w:tr w:rsidR="00887803" w:rsidRPr="009B40BA" w:rsidTr="009B40BA">
        <w:trPr>
          <w:trHeight w:val="2783"/>
        </w:trPr>
        <w:tc>
          <w:tcPr>
            <w:tcW w:w="3437" w:type="dxa"/>
          </w:tcPr>
          <w:p w:rsidR="00887803" w:rsidRPr="009B40BA" w:rsidRDefault="009B40BA">
            <w:pPr>
              <w:pStyle w:val="TableParagraph"/>
              <w:spacing w:line="243" w:lineRule="exact"/>
              <w:ind w:left="388" w:firstLine="0"/>
              <w:rPr>
                <w:b/>
                <w:sz w:val="20"/>
                <w:lang w:val="es-AR"/>
              </w:rPr>
            </w:pPr>
            <w:r>
              <w:rPr>
                <w:b/>
                <w:bCs/>
                <w:sz w:val="20"/>
                <w:lang w:val="es"/>
              </w:rPr>
              <w:t>MONITOREO Y EVALUACIÓN</w:t>
            </w:r>
          </w:p>
          <w:p w:rsidR="00887803" w:rsidRPr="009B40BA" w:rsidRDefault="009B40BA">
            <w:pPr>
              <w:pStyle w:val="TableParagraph"/>
              <w:ind w:left="107" w:right="128" w:hanging="1"/>
              <w:rPr>
                <w:i/>
                <w:sz w:val="16"/>
                <w:lang w:val="es-AR"/>
              </w:rPr>
            </w:pPr>
            <w:r>
              <w:rPr>
                <w:i/>
                <w:iCs/>
                <w:sz w:val="16"/>
                <w:lang w:val="es"/>
              </w:rPr>
              <w:t xml:space="preserve">(Monitoreo: seguimiento permanente y sistemático de la información pertinente a las estrategias, proyectos y actividades de USAID para apoyar estructuras de gestión adaptables y rendición de cuentas en la Agencia. Ayuda a revelar si la implementación está </w:t>
            </w:r>
            <w:r>
              <w:rPr>
                <w:i/>
                <w:iCs/>
                <w:sz w:val="16"/>
                <w:lang w:val="es"/>
              </w:rPr>
              <w:t xml:space="preserve">en marcha y se están logrando resultados. Evaluación: recopilación y análisis sistemáticos de la información de los componentes anteriores como base para juicios que mejoren la eficacia y el cronograma para fundamentar decisiones sobre programación actual </w:t>
            </w:r>
            <w:r>
              <w:rPr>
                <w:i/>
                <w:iCs/>
                <w:sz w:val="16"/>
                <w:lang w:val="es"/>
              </w:rPr>
              <w:t>y futura. La evaluación es distinta de la</w:t>
            </w:r>
          </w:p>
          <w:p w:rsidR="00887803" w:rsidRPr="009B40BA" w:rsidRDefault="009B40BA">
            <w:pPr>
              <w:pStyle w:val="TableParagraph"/>
              <w:spacing w:line="176" w:lineRule="exact"/>
              <w:ind w:left="107" w:firstLine="0"/>
              <w:rPr>
                <w:i/>
                <w:sz w:val="16"/>
                <w:lang w:val="es-AR"/>
              </w:rPr>
            </w:pPr>
            <w:proofErr w:type="gramStart"/>
            <w:r>
              <w:rPr>
                <w:i/>
                <w:iCs/>
                <w:sz w:val="16"/>
                <w:lang w:val="es"/>
              </w:rPr>
              <w:t>valoración</w:t>
            </w:r>
            <w:proofErr w:type="gramEnd"/>
            <w:r>
              <w:rPr>
                <w:i/>
                <w:iCs/>
                <w:sz w:val="16"/>
                <w:lang w:val="es"/>
              </w:rPr>
              <w:t xml:space="preserve"> o revisiones informales.)</w:t>
            </w:r>
          </w:p>
        </w:tc>
        <w:tc>
          <w:tcPr>
            <w:tcW w:w="7022" w:type="dxa"/>
          </w:tcPr>
          <w:p w:rsidR="00887803" w:rsidRPr="009B40BA" w:rsidRDefault="009B40BA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28" w:lineRule="exact"/>
              <w:ind w:left="465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Crear oportunidades periódicas de reflexión para el aprendizaje y la adaptación continuos</w:t>
            </w:r>
          </w:p>
          <w:p w:rsidR="00887803" w:rsidRPr="009B40BA" w:rsidRDefault="009B40BA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1" w:line="229" w:lineRule="exact"/>
              <w:ind w:left="465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Elaborar y monitorear planes de acción posterior a la evaluación para facilitar la util</w:t>
            </w:r>
            <w:r>
              <w:rPr>
                <w:sz w:val="18"/>
                <w:lang w:val="es"/>
              </w:rPr>
              <w:t>ización de los hallazgos pertinentes</w:t>
            </w:r>
          </w:p>
          <w:p w:rsidR="00887803" w:rsidRPr="009B40BA" w:rsidRDefault="009B40BA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ind w:left="465" w:right="106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Establecer los resultados y las recomendaciones de la evaluación como medidas que sean aplicables y difundir según corresponda</w:t>
            </w:r>
          </w:p>
        </w:tc>
      </w:tr>
      <w:tr w:rsidR="00887803" w:rsidRPr="009B40BA" w:rsidTr="009B40BA">
        <w:trPr>
          <w:trHeight w:val="2051"/>
        </w:trPr>
        <w:tc>
          <w:tcPr>
            <w:tcW w:w="3437" w:type="dxa"/>
            <w:shd w:val="clear" w:color="auto" w:fill="BCC589"/>
          </w:tcPr>
          <w:p w:rsidR="00887803" w:rsidRPr="009B40BA" w:rsidRDefault="009B40BA">
            <w:pPr>
              <w:pStyle w:val="TableParagraph"/>
              <w:ind w:left="1185" w:right="312" w:hanging="843"/>
              <w:rPr>
                <w:b/>
                <w:sz w:val="20"/>
                <w:lang w:val="es-AR"/>
              </w:rPr>
            </w:pPr>
            <w:r>
              <w:rPr>
                <w:b/>
                <w:bCs/>
                <w:sz w:val="20"/>
                <w:lang w:val="es"/>
              </w:rPr>
              <w:lastRenderedPageBreak/>
              <w:t>COLABORACIÓN, APRENDIZAJE Y ADAPTACIÓN</w:t>
            </w:r>
          </w:p>
          <w:p w:rsidR="00887803" w:rsidRPr="009B40BA" w:rsidRDefault="009B40BA">
            <w:pPr>
              <w:pStyle w:val="TableParagraph"/>
              <w:ind w:left="107" w:right="133" w:firstLine="0"/>
              <w:rPr>
                <w:i/>
                <w:sz w:val="16"/>
                <w:lang w:val="es-AR"/>
              </w:rPr>
            </w:pPr>
            <w:r>
              <w:rPr>
                <w:i/>
                <w:iCs/>
                <w:sz w:val="16"/>
                <w:lang w:val="es"/>
              </w:rPr>
              <w:t>(La colaboración estratégica entre una amplia gama de interesados internos y externos, el aprendizaje continuo y la gestión adaptativa conecta todos los componentes del Ciclo del programa. Entre las fuentes de aprendizaje figuran los datos del monitoreo, l</w:t>
            </w:r>
            <w:r>
              <w:rPr>
                <w:i/>
                <w:iCs/>
                <w:sz w:val="16"/>
                <w:lang w:val="es"/>
              </w:rPr>
              <w:t>os resultados de las investigaciones, las evaluaciones, los análisis, los conocimientos adquiridos a partir de</w:t>
            </w:r>
          </w:p>
          <w:p w:rsidR="00887803" w:rsidRPr="009B40BA" w:rsidRDefault="009B40BA">
            <w:pPr>
              <w:pStyle w:val="TableParagraph"/>
              <w:spacing w:line="178" w:lineRule="exact"/>
              <w:ind w:left="107" w:firstLine="0"/>
              <w:rPr>
                <w:i/>
                <w:sz w:val="16"/>
                <w:lang w:val="es-AR"/>
              </w:rPr>
            </w:pPr>
            <w:proofErr w:type="gramStart"/>
            <w:r>
              <w:rPr>
                <w:i/>
                <w:iCs/>
                <w:sz w:val="16"/>
                <w:lang w:val="es"/>
              </w:rPr>
              <w:t>la</w:t>
            </w:r>
            <w:proofErr w:type="gramEnd"/>
            <w:r>
              <w:rPr>
                <w:i/>
                <w:iCs/>
                <w:sz w:val="16"/>
                <w:lang w:val="es"/>
              </w:rPr>
              <w:t xml:space="preserve"> experiencia, y otras fuentes.)</w:t>
            </w:r>
          </w:p>
        </w:tc>
        <w:tc>
          <w:tcPr>
            <w:tcW w:w="7022" w:type="dxa"/>
            <w:shd w:val="clear" w:color="auto" w:fill="BCC589"/>
          </w:tcPr>
          <w:p w:rsidR="00887803" w:rsidRPr="009B40BA" w:rsidRDefault="009B40BA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left="465" w:right="826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Difundir los resultados de la evaluación y asegurar que el aprendizaje y las recomendaciones se incorporen al c</w:t>
            </w:r>
            <w:r>
              <w:rPr>
                <w:sz w:val="18"/>
                <w:lang w:val="es"/>
              </w:rPr>
              <w:t>iclo del programa</w:t>
            </w:r>
          </w:p>
          <w:p w:rsidR="00887803" w:rsidRPr="009B40BA" w:rsidRDefault="009B40BA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left="465" w:right="412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Desarrollar y estructurar productos selectos y de alta calidad que proporcionen información útil, promuevan resultados y contribuyan a la base de pruebas</w:t>
            </w:r>
          </w:p>
          <w:p w:rsidR="00887803" w:rsidRPr="009B40BA" w:rsidRDefault="009B40BA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29" w:lineRule="exact"/>
              <w:ind w:left="465" w:hanging="360"/>
              <w:rPr>
                <w:sz w:val="18"/>
                <w:lang w:val="es-AR"/>
              </w:rPr>
            </w:pPr>
            <w:r>
              <w:rPr>
                <w:sz w:val="18"/>
                <w:lang w:val="es"/>
              </w:rPr>
              <w:t>Compartir información sobre el fracaso, lo que no funcionó y lo que se ha aprendido mediante el fracaso</w:t>
            </w:r>
          </w:p>
        </w:tc>
      </w:tr>
    </w:tbl>
    <w:p w:rsidR="00887803" w:rsidRPr="009B40BA" w:rsidRDefault="00887803">
      <w:pPr>
        <w:pStyle w:val="Textoindependiente"/>
        <w:rPr>
          <w:b/>
          <w:sz w:val="20"/>
          <w:lang w:val="es-AR"/>
        </w:rPr>
      </w:pPr>
    </w:p>
    <w:p w:rsidR="00887803" w:rsidRPr="009B40BA" w:rsidRDefault="00887803">
      <w:pPr>
        <w:pStyle w:val="Textoindependiente"/>
        <w:rPr>
          <w:b/>
          <w:sz w:val="20"/>
          <w:lang w:val="es-AR"/>
        </w:rPr>
      </w:pPr>
    </w:p>
    <w:p w:rsidR="00887803" w:rsidRPr="009B40BA" w:rsidRDefault="009B40BA">
      <w:pPr>
        <w:pStyle w:val="Textoindependiente"/>
        <w:spacing w:before="9"/>
        <w:rPr>
          <w:b/>
          <w:sz w:val="10"/>
          <w:lang w:val="es-AR"/>
        </w:rPr>
      </w:pPr>
      <w:r>
        <w:rPr>
          <w:lang w:val="es"/>
        </w:rPr>
        <w:pict>
          <v:line id="_x0000_s1026" style="position:absolute;z-index:251657728;mso-wrap-distance-left:0;mso-wrap-distance-right:0;mso-position-horizontal-relative:page" from="45pt,8.95pt" to="189pt,8.95pt" strokeweight=".72pt">
            <w10:wrap type="topAndBottom" anchorx="page"/>
          </v:line>
        </w:pict>
      </w:r>
    </w:p>
    <w:p w:rsidR="00887803" w:rsidRPr="009B40BA" w:rsidRDefault="009B40BA">
      <w:pPr>
        <w:spacing w:before="39"/>
        <w:ind w:left="220"/>
        <w:rPr>
          <w:sz w:val="18"/>
          <w:lang w:val="es-AR"/>
        </w:rPr>
      </w:pPr>
      <w:bookmarkStart w:id="1" w:name="_bookmark0"/>
      <w:bookmarkEnd w:id="1"/>
      <w:proofErr w:type="gramStart"/>
      <w:r>
        <w:rPr>
          <w:color w:val="595958"/>
          <w:sz w:val="13"/>
          <w:lang w:val="es"/>
        </w:rPr>
        <w:t>i</w:t>
      </w:r>
      <w:proofErr w:type="gramEnd"/>
      <w:r>
        <w:rPr>
          <w:color w:val="595958"/>
          <w:sz w:val="13"/>
          <w:lang w:val="es"/>
        </w:rPr>
        <w:t xml:space="preserve"> </w:t>
      </w:r>
      <w:r>
        <w:rPr>
          <w:color w:val="595958"/>
          <w:sz w:val="18"/>
          <w:lang w:val="es"/>
        </w:rPr>
        <w:t xml:space="preserve">Del capítulo 201 de ADS, disponible en </w:t>
      </w:r>
      <w:hyperlink r:id="rId6">
        <w:r>
          <w:rPr>
            <w:color w:val="0000FF"/>
            <w:sz w:val="18"/>
            <w:u w:val="single"/>
            <w:lang w:val="es"/>
          </w:rPr>
          <w:t>http://www.usaid.gov/ads/policy/200/201</w:t>
        </w:r>
      </w:hyperlink>
    </w:p>
    <w:sectPr w:rsidR="00887803" w:rsidRPr="009B40BA">
      <w:pgSz w:w="12240" w:h="15840"/>
      <w:pgMar w:top="940" w:right="8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30153"/>
    <w:multiLevelType w:val="multilevel"/>
    <w:tmpl w:val="1456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alwaysMergeEmptyNamespace/>
  <w:compat>
    <w:ulTrailSpace/>
    <w:compatSetting w:name="compatibilityMode" w:uri="http://schemas.microsoft.com/office/word" w:val="12"/>
  </w:compat>
  <w:rsids>
    <w:rsidRoot w:val="00887803"/>
    <w:rsid w:val="00887803"/>
    <w:rsid w:val="009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908B58-5839-4FBC-8564-6EC16797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id.gov/ads/policy/200/2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Yemisi Songo-Williams</dc:creator>
  <cp:lastModifiedBy>Tomás</cp:lastModifiedBy>
  <cp:revision>1</cp:revision>
  <dcterms:created xsi:type="dcterms:W3CDTF">2018-08-03T14:22:00Z</dcterms:created>
  <dcterms:modified xsi:type="dcterms:W3CDTF">2018-08-21T14:46:00Z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2018-08-03T00:00:00Z</vt:filetime>
  </property>
</Properties>
</file>